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C1E4B" w14:textId="657DB6BD" w:rsidR="000017C8" w:rsidRPr="00C926EC" w:rsidRDefault="004572D1" w:rsidP="000017C8">
      <w:pPr>
        <w:spacing w:line="480" w:lineRule="auto"/>
        <w:jc w:val="center"/>
        <w:rPr>
          <w:rFonts w:ascii="Arial" w:hAnsi="Arial" w:cs="Arial"/>
          <w:b/>
          <w:sz w:val="28"/>
          <w:szCs w:val="28"/>
          <w:lang w:val="en-US"/>
        </w:rPr>
      </w:pPr>
      <w:r w:rsidRPr="00C926EC">
        <w:rPr>
          <w:rFonts w:ascii="Arial" w:hAnsi="Arial" w:cs="Arial"/>
          <w:b/>
          <w:sz w:val="28"/>
          <w:szCs w:val="28"/>
          <w:lang w:val="en-US"/>
        </w:rPr>
        <w:t xml:space="preserve">Biogas upgrading to biomethane as a local source of renewable energy </w:t>
      </w:r>
      <w:r w:rsidR="00940BE6" w:rsidRPr="00C926EC">
        <w:rPr>
          <w:rFonts w:ascii="Arial" w:hAnsi="Arial" w:cs="Arial"/>
          <w:b/>
          <w:sz w:val="28"/>
          <w:szCs w:val="28"/>
          <w:lang w:val="en-US"/>
        </w:rPr>
        <w:t>to power light marine transport</w:t>
      </w:r>
      <w:r w:rsidRPr="00C926EC">
        <w:rPr>
          <w:rFonts w:ascii="Arial" w:hAnsi="Arial" w:cs="Arial"/>
          <w:b/>
          <w:sz w:val="28"/>
          <w:szCs w:val="28"/>
          <w:lang w:val="en-US"/>
        </w:rPr>
        <w:t xml:space="preserve">: </w:t>
      </w:r>
      <w:r w:rsidR="000017C8" w:rsidRPr="00C926EC">
        <w:rPr>
          <w:rFonts w:ascii="Arial" w:hAnsi="Arial" w:cs="Arial"/>
          <w:b/>
          <w:sz w:val="28"/>
          <w:szCs w:val="28"/>
          <w:lang w:val="en-US"/>
        </w:rPr>
        <w:t xml:space="preserve">Profitability analysis </w:t>
      </w:r>
      <w:r w:rsidRPr="00C926EC">
        <w:rPr>
          <w:rFonts w:ascii="Arial" w:hAnsi="Arial" w:cs="Arial"/>
          <w:b/>
          <w:sz w:val="28"/>
          <w:szCs w:val="28"/>
          <w:lang w:val="en-US"/>
        </w:rPr>
        <w:t xml:space="preserve">for </w:t>
      </w:r>
      <w:r w:rsidR="00946719" w:rsidRPr="00C926EC">
        <w:rPr>
          <w:rFonts w:ascii="Arial" w:hAnsi="Arial" w:cs="Arial"/>
          <w:b/>
          <w:sz w:val="28"/>
          <w:szCs w:val="28"/>
          <w:lang w:val="en-US"/>
        </w:rPr>
        <w:t>the c</w:t>
      </w:r>
      <w:r w:rsidR="006409A8" w:rsidRPr="00C926EC">
        <w:rPr>
          <w:rFonts w:ascii="Arial" w:hAnsi="Arial" w:cs="Arial"/>
          <w:b/>
          <w:sz w:val="28"/>
          <w:szCs w:val="28"/>
          <w:lang w:val="en-US"/>
        </w:rPr>
        <w:t>ounty</w:t>
      </w:r>
      <w:r w:rsidR="00946719" w:rsidRPr="00C926EC">
        <w:rPr>
          <w:rFonts w:ascii="Arial" w:hAnsi="Arial" w:cs="Arial"/>
          <w:b/>
          <w:sz w:val="28"/>
          <w:szCs w:val="28"/>
          <w:lang w:val="en-US"/>
        </w:rPr>
        <w:t xml:space="preserve"> of </w:t>
      </w:r>
      <w:r w:rsidRPr="00C926EC">
        <w:rPr>
          <w:rFonts w:ascii="Arial" w:hAnsi="Arial" w:cs="Arial"/>
          <w:b/>
          <w:sz w:val="28"/>
          <w:szCs w:val="28"/>
          <w:lang w:val="en-US"/>
        </w:rPr>
        <w:t>Cornwall</w:t>
      </w:r>
      <w:r w:rsidR="000017C8" w:rsidRPr="00C926EC">
        <w:rPr>
          <w:rFonts w:ascii="Arial" w:hAnsi="Arial" w:cs="Arial"/>
          <w:b/>
          <w:sz w:val="28"/>
          <w:szCs w:val="28"/>
          <w:lang w:val="en-US"/>
        </w:rPr>
        <w:t xml:space="preserve"> </w:t>
      </w:r>
    </w:p>
    <w:p w14:paraId="565F1A6D" w14:textId="59286E7F" w:rsidR="007C45C3" w:rsidRPr="00C926EC" w:rsidRDefault="008C671D" w:rsidP="007C45C3">
      <w:pPr>
        <w:spacing w:after="0" w:line="480" w:lineRule="auto"/>
        <w:jc w:val="center"/>
        <w:rPr>
          <w:rFonts w:ascii="Arial" w:hAnsi="Arial" w:cs="Arial"/>
          <w:sz w:val="24"/>
          <w:szCs w:val="24"/>
        </w:rPr>
      </w:pPr>
      <w:r w:rsidRPr="00C926EC">
        <w:rPr>
          <w:rFonts w:ascii="Arial" w:hAnsi="Arial" w:cs="Arial"/>
          <w:sz w:val="24"/>
          <w:szCs w:val="24"/>
        </w:rPr>
        <w:t>Judith González-Arias</w:t>
      </w:r>
      <w:r w:rsidR="005A16F2" w:rsidRPr="00C926EC">
        <w:rPr>
          <w:rFonts w:ascii="Arial" w:hAnsi="Arial" w:cs="Arial"/>
          <w:sz w:val="24"/>
          <w:szCs w:val="24"/>
        </w:rPr>
        <w:t xml:space="preserve"> </w:t>
      </w:r>
      <w:r w:rsidR="001A4BB2" w:rsidRPr="00C926EC">
        <w:rPr>
          <w:rFonts w:ascii="Arial" w:hAnsi="Arial" w:cs="Arial"/>
          <w:sz w:val="24"/>
          <w:szCs w:val="24"/>
          <w:vertAlign w:val="superscript"/>
        </w:rPr>
        <w:t>a</w:t>
      </w:r>
      <w:r w:rsidRPr="00C926EC">
        <w:rPr>
          <w:rFonts w:ascii="Arial" w:hAnsi="Arial" w:cs="Arial"/>
          <w:sz w:val="24"/>
          <w:szCs w:val="24"/>
        </w:rPr>
        <w:t xml:space="preserve">, </w:t>
      </w:r>
      <w:r w:rsidR="001A4BB2" w:rsidRPr="00C926EC">
        <w:rPr>
          <w:rFonts w:ascii="Arial" w:hAnsi="Arial" w:cs="Arial"/>
          <w:sz w:val="24"/>
          <w:szCs w:val="24"/>
        </w:rPr>
        <w:t xml:space="preserve">Francisco M. Baena-Moreno </w:t>
      </w:r>
      <w:proofErr w:type="spellStart"/>
      <w:proofErr w:type="gramStart"/>
      <w:r w:rsidR="001A4BB2" w:rsidRPr="00C926EC">
        <w:rPr>
          <w:rFonts w:ascii="Arial" w:hAnsi="Arial" w:cs="Arial"/>
          <w:sz w:val="24"/>
          <w:szCs w:val="24"/>
          <w:vertAlign w:val="superscript"/>
        </w:rPr>
        <w:t>b,c</w:t>
      </w:r>
      <w:proofErr w:type="spellEnd"/>
      <w:proofErr w:type="gramEnd"/>
      <w:r w:rsidR="001A4BB2" w:rsidRPr="00C926EC">
        <w:rPr>
          <w:rFonts w:ascii="Arial" w:hAnsi="Arial" w:cs="Arial"/>
          <w:sz w:val="24"/>
          <w:szCs w:val="24"/>
          <w:vertAlign w:val="superscript"/>
        </w:rPr>
        <w:t xml:space="preserve"> </w:t>
      </w:r>
      <w:r w:rsidR="001A4BB2" w:rsidRPr="00C926EC">
        <w:rPr>
          <w:rFonts w:ascii="Arial" w:hAnsi="Arial" w:cs="Arial"/>
          <w:sz w:val="24"/>
          <w:szCs w:val="24"/>
        </w:rPr>
        <w:t xml:space="preserve">*, </w:t>
      </w:r>
      <w:r w:rsidR="00A10A38" w:rsidRPr="00C926EC">
        <w:rPr>
          <w:rFonts w:ascii="Arial" w:hAnsi="Arial" w:cs="Arial"/>
          <w:sz w:val="24"/>
          <w:szCs w:val="24"/>
        </w:rPr>
        <w:t xml:space="preserve">Laura Pastor-Pérez </w:t>
      </w:r>
      <w:r w:rsidR="001A4BB2" w:rsidRPr="00C926EC">
        <w:rPr>
          <w:rFonts w:ascii="Arial" w:hAnsi="Arial" w:cs="Arial"/>
          <w:sz w:val="24"/>
          <w:szCs w:val="24"/>
          <w:vertAlign w:val="superscript"/>
        </w:rPr>
        <w:t>d</w:t>
      </w:r>
      <w:r w:rsidR="00A10A38" w:rsidRPr="00C926EC">
        <w:rPr>
          <w:rFonts w:ascii="Arial" w:hAnsi="Arial" w:cs="Arial"/>
          <w:sz w:val="24"/>
          <w:szCs w:val="24"/>
        </w:rPr>
        <w:t xml:space="preserve">, </w:t>
      </w:r>
      <w:r w:rsidR="00A452BE" w:rsidRPr="00C926EC">
        <w:rPr>
          <w:rFonts w:ascii="Arial" w:hAnsi="Arial" w:cs="Arial"/>
          <w:sz w:val="24"/>
          <w:szCs w:val="24"/>
        </w:rPr>
        <w:t>D</w:t>
      </w:r>
      <w:r w:rsidR="00D70940" w:rsidRPr="00C926EC">
        <w:rPr>
          <w:rFonts w:ascii="Arial" w:hAnsi="Arial" w:cs="Arial"/>
          <w:sz w:val="24"/>
          <w:szCs w:val="24"/>
        </w:rPr>
        <w:t>aniel</w:t>
      </w:r>
      <w:r w:rsidR="00A452BE" w:rsidRPr="00C926EC">
        <w:rPr>
          <w:rFonts w:ascii="Arial" w:hAnsi="Arial" w:cs="Arial"/>
          <w:sz w:val="24"/>
          <w:szCs w:val="24"/>
        </w:rPr>
        <w:t xml:space="preserve"> Sebastia-Saez </w:t>
      </w:r>
      <w:r w:rsidR="001A4BB2" w:rsidRPr="00C926EC">
        <w:rPr>
          <w:rFonts w:ascii="Arial" w:hAnsi="Arial" w:cs="Arial"/>
          <w:sz w:val="24"/>
          <w:szCs w:val="24"/>
          <w:vertAlign w:val="superscript"/>
        </w:rPr>
        <w:t>d</w:t>
      </w:r>
      <w:r w:rsidR="00A452BE" w:rsidRPr="00C926EC">
        <w:rPr>
          <w:rFonts w:ascii="Arial" w:hAnsi="Arial" w:cs="Arial"/>
          <w:sz w:val="24"/>
          <w:szCs w:val="24"/>
        </w:rPr>
        <w:t xml:space="preserve">, </w:t>
      </w:r>
      <w:r w:rsidR="00F50238" w:rsidRPr="00C926EC">
        <w:rPr>
          <w:rFonts w:ascii="Arial" w:hAnsi="Arial" w:cs="Arial"/>
          <w:sz w:val="24"/>
          <w:szCs w:val="24"/>
        </w:rPr>
        <w:t>Luz M. Gallego Fernández</w:t>
      </w:r>
      <w:r w:rsidR="00F50238" w:rsidRPr="00C926EC">
        <w:rPr>
          <w:rFonts w:ascii="Arial" w:hAnsi="Arial" w:cs="Arial"/>
          <w:sz w:val="24"/>
          <w:szCs w:val="24"/>
          <w:vertAlign w:val="superscript"/>
        </w:rPr>
        <w:t xml:space="preserve"> </w:t>
      </w:r>
      <w:r w:rsidR="001A4BB2" w:rsidRPr="00C926EC">
        <w:rPr>
          <w:rFonts w:ascii="Arial" w:hAnsi="Arial" w:cs="Arial"/>
          <w:sz w:val="24"/>
          <w:szCs w:val="24"/>
          <w:vertAlign w:val="superscript"/>
        </w:rPr>
        <w:t>b</w:t>
      </w:r>
      <w:r w:rsidR="00C26B95" w:rsidRPr="00C926EC">
        <w:rPr>
          <w:rFonts w:ascii="Arial" w:hAnsi="Arial" w:cs="Arial"/>
          <w:sz w:val="24"/>
          <w:szCs w:val="24"/>
        </w:rPr>
        <w:t xml:space="preserve">, </w:t>
      </w:r>
      <w:r w:rsidR="00490AA4" w:rsidRPr="00C926EC">
        <w:rPr>
          <w:rFonts w:ascii="Arial" w:hAnsi="Arial" w:cs="Arial"/>
          <w:sz w:val="24"/>
          <w:szCs w:val="24"/>
        </w:rPr>
        <w:t>T.</w:t>
      </w:r>
      <w:r w:rsidR="00415535" w:rsidRPr="00C926EC">
        <w:rPr>
          <w:rFonts w:ascii="Arial" w:hAnsi="Arial" w:cs="Arial"/>
          <w:sz w:val="24"/>
          <w:szCs w:val="24"/>
        </w:rPr>
        <w:t xml:space="preserve"> </w:t>
      </w:r>
      <w:r w:rsidR="00490AA4" w:rsidRPr="00C926EC">
        <w:rPr>
          <w:rFonts w:ascii="Arial" w:hAnsi="Arial" w:cs="Arial"/>
          <w:sz w:val="24"/>
          <w:szCs w:val="24"/>
        </w:rPr>
        <w:t xml:space="preserve">R. Reina </w:t>
      </w:r>
      <w:r w:rsidR="001A4BB2" w:rsidRPr="00C926EC">
        <w:rPr>
          <w:rFonts w:ascii="Arial" w:hAnsi="Arial" w:cs="Arial"/>
          <w:sz w:val="24"/>
          <w:szCs w:val="24"/>
          <w:vertAlign w:val="superscript"/>
        </w:rPr>
        <w:t>d</w:t>
      </w:r>
      <w:r w:rsidR="006409A8" w:rsidRPr="00C926EC">
        <w:rPr>
          <w:rFonts w:ascii="Arial" w:hAnsi="Arial" w:cs="Arial"/>
          <w:sz w:val="24"/>
          <w:szCs w:val="24"/>
        </w:rPr>
        <w:t xml:space="preserve"> *</w:t>
      </w:r>
    </w:p>
    <w:p w14:paraId="3EBBB638" w14:textId="1CC82183" w:rsidR="00E67968" w:rsidRPr="00C926EC" w:rsidRDefault="007C45C3" w:rsidP="007C45C3">
      <w:pPr>
        <w:spacing w:line="480" w:lineRule="auto"/>
        <w:jc w:val="both"/>
        <w:rPr>
          <w:rFonts w:ascii="Arial" w:hAnsi="Arial" w:cs="Arial"/>
          <w:i/>
          <w:sz w:val="24"/>
          <w:szCs w:val="24"/>
          <w:lang w:val="en-US"/>
        </w:rPr>
      </w:pPr>
      <w:r w:rsidRPr="00C926EC">
        <w:rPr>
          <w:rFonts w:ascii="Arial" w:hAnsi="Arial" w:cs="Arial"/>
          <w:i/>
          <w:sz w:val="24"/>
          <w:szCs w:val="24"/>
          <w:vertAlign w:val="superscript"/>
          <w:lang w:val="en-US"/>
        </w:rPr>
        <w:t>a</w:t>
      </w:r>
      <w:r w:rsidRPr="00C926EC">
        <w:rPr>
          <w:rFonts w:ascii="Arial" w:hAnsi="Arial" w:cs="Arial"/>
          <w:i/>
          <w:sz w:val="24"/>
          <w:szCs w:val="24"/>
          <w:lang w:val="en-US"/>
        </w:rPr>
        <w:t xml:space="preserve"> </w:t>
      </w:r>
      <w:r w:rsidR="00E67968" w:rsidRPr="00C926EC">
        <w:rPr>
          <w:rFonts w:ascii="Arial" w:hAnsi="Arial" w:cs="Arial"/>
          <w:i/>
          <w:sz w:val="24"/>
          <w:szCs w:val="24"/>
          <w:lang w:val="en-US"/>
        </w:rPr>
        <w:t xml:space="preserve">Chemical and Environmental Bioprocess Engineering Group, Natural Resources Institute (IRENA), University of Leon, 24071, León, Spain </w:t>
      </w:r>
    </w:p>
    <w:p w14:paraId="4BA420F0" w14:textId="77777777" w:rsidR="00E67968" w:rsidRPr="00C926EC" w:rsidRDefault="007C45C3" w:rsidP="00E67968">
      <w:pPr>
        <w:spacing w:line="480" w:lineRule="auto"/>
        <w:jc w:val="both"/>
        <w:rPr>
          <w:rFonts w:ascii="Arial" w:hAnsi="Arial" w:cs="Arial"/>
          <w:i/>
          <w:sz w:val="24"/>
          <w:szCs w:val="24"/>
          <w:lang w:val="en-US"/>
        </w:rPr>
      </w:pPr>
      <w:r w:rsidRPr="00C926EC">
        <w:rPr>
          <w:rFonts w:ascii="Arial" w:hAnsi="Arial" w:cs="Arial"/>
          <w:i/>
          <w:sz w:val="24"/>
          <w:szCs w:val="24"/>
          <w:vertAlign w:val="superscript"/>
          <w:lang w:val="en-US"/>
        </w:rPr>
        <w:t>b</w:t>
      </w:r>
      <w:r w:rsidRPr="00C926EC">
        <w:rPr>
          <w:rFonts w:ascii="Arial" w:hAnsi="Arial" w:cs="Arial"/>
          <w:i/>
          <w:sz w:val="24"/>
          <w:szCs w:val="24"/>
          <w:lang w:val="en-US"/>
        </w:rPr>
        <w:t xml:space="preserve"> </w:t>
      </w:r>
      <w:r w:rsidR="00E67968" w:rsidRPr="00C926EC">
        <w:rPr>
          <w:rFonts w:ascii="Arial" w:hAnsi="Arial" w:cs="Arial"/>
          <w:i/>
          <w:sz w:val="24"/>
          <w:szCs w:val="24"/>
          <w:lang w:val="en-US"/>
        </w:rPr>
        <w:t xml:space="preserve">Chemical and Environmental Engineering Department, Technical School of Engineering, University of Seville, C/ Camino de los </w:t>
      </w:r>
      <w:proofErr w:type="spellStart"/>
      <w:r w:rsidR="00E67968" w:rsidRPr="00C926EC">
        <w:rPr>
          <w:rFonts w:ascii="Arial" w:hAnsi="Arial" w:cs="Arial"/>
          <w:i/>
          <w:sz w:val="24"/>
          <w:szCs w:val="24"/>
          <w:lang w:val="en-US"/>
        </w:rPr>
        <w:t>Descubrimientos</w:t>
      </w:r>
      <w:proofErr w:type="spellEnd"/>
      <w:r w:rsidR="00E67968" w:rsidRPr="00C926EC">
        <w:rPr>
          <w:rFonts w:ascii="Arial" w:hAnsi="Arial" w:cs="Arial"/>
          <w:i/>
          <w:sz w:val="24"/>
          <w:szCs w:val="24"/>
          <w:lang w:val="en-US"/>
        </w:rPr>
        <w:t xml:space="preserve"> s/n, Sevilla 41092, Spain</w:t>
      </w:r>
    </w:p>
    <w:p w14:paraId="5D58434C" w14:textId="403D6966" w:rsidR="001A4BB2" w:rsidRPr="00C926EC" w:rsidRDefault="001A4BB2" w:rsidP="001A4BB2">
      <w:pPr>
        <w:spacing w:line="480" w:lineRule="auto"/>
        <w:jc w:val="both"/>
        <w:rPr>
          <w:rFonts w:ascii="Arial" w:hAnsi="Arial" w:cs="Arial"/>
          <w:i/>
          <w:sz w:val="24"/>
          <w:szCs w:val="24"/>
          <w:lang w:val="en-US"/>
        </w:rPr>
      </w:pPr>
      <w:r w:rsidRPr="00C926EC">
        <w:rPr>
          <w:rFonts w:ascii="Arial" w:hAnsi="Arial" w:cs="Arial"/>
          <w:i/>
          <w:sz w:val="24"/>
          <w:szCs w:val="24"/>
          <w:vertAlign w:val="superscript"/>
          <w:lang w:val="en-US"/>
        </w:rPr>
        <w:t>c</w:t>
      </w:r>
      <w:r w:rsidRPr="00C926EC">
        <w:rPr>
          <w:rFonts w:ascii="Arial" w:hAnsi="Arial" w:cs="Arial"/>
          <w:i/>
          <w:sz w:val="24"/>
          <w:szCs w:val="24"/>
          <w:lang w:val="en-US"/>
        </w:rPr>
        <w:t xml:space="preserve"> Department of Space, Earth and Environment, Chalmers University of Technology, 412 96 </w:t>
      </w:r>
      <w:proofErr w:type="spellStart"/>
      <w:r w:rsidRPr="00C926EC">
        <w:rPr>
          <w:rFonts w:ascii="Arial" w:hAnsi="Arial" w:cs="Arial"/>
          <w:i/>
          <w:sz w:val="24"/>
          <w:szCs w:val="24"/>
          <w:lang w:val="en-US"/>
        </w:rPr>
        <w:t>Göteborg</w:t>
      </w:r>
      <w:proofErr w:type="spellEnd"/>
      <w:r w:rsidRPr="00C926EC">
        <w:rPr>
          <w:rFonts w:ascii="Arial" w:hAnsi="Arial" w:cs="Arial"/>
          <w:i/>
          <w:sz w:val="24"/>
          <w:szCs w:val="24"/>
          <w:lang w:val="en-US"/>
        </w:rPr>
        <w:t>, Sweden</w:t>
      </w:r>
    </w:p>
    <w:p w14:paraId="5C05CD13" w14:textId="7F8BF8F4" w:rsidR="006409A8" w:rsidRPr="00C926EC" w:rsidRDefault="001A4BB2" w:rsidP="007F0CDC">
      <w:pPr>
        <w:spacing w:line="480" w:lineRule="auto"/>
        <w:jc w:val="both"/>
        <w:rPr>
          <w:rFonts w:ascii="Arial" w:hAnsi="Arial" w:cs="Arial"/>
          <w:i/>
          <w:sz w:val="24"/>
          <w:szCs w:val="24"/>
          <w:lang w:val="en-US"/>
        </w:rPr>
      </w:pPr>
      <w:r w:rsidRPr="00C926EC">
        <w:rPr>
          <w:rFonts w:ascii="Arial" w:hAnsi="Arial" w:cs="Arial"/>
          <w:i/>
          <w:sz w:val="24"/>
          <w:szCs w:val="24"/>
          <w:vertAlign w:val="superscript"/>
          <w:lang w:val="en-US"/>
        </w:rPr>
        <w:t>d</w:t>
      </w:r>
      <w:r w:rsidR="005A16F2" w:rsidRPr="00C926EC">
        <w:rPr>
          <w:rFonts w:ascii="Arial" w:hAnsi="Arial" w:cs="Arial"/>
          <w:i/>
          <w:sz w:val="24"/>
          <w:szCs w:val="24"/>
          <w:lang w:val="en-US"/>
        </w:rPr>
        <w:t xml:space="preserve"> </w:t>
      </w:r>
      <w:r w:rsidR="006409A8" w:rsidRPr="00C926EC">
        <w:rPr>
          <w:rFonts w:ascii="Arial" w:hAnsi="Arial" w:cs="Arial"/>
          <w:i/>
          <w:sz w:val="24"/>
          <w:szCs w:val="24"/>
          <w:lang w:val="en-US"/>
        </w:rPr>
        <w:t>Department of Chemical and Process Engineering, University of Surrey, GU2 7XH Guildford, United Kingdom</w:t>
      </w:r>
    </w:p>
    <w:p w14:paraId="24755FB1" w14:textId="6F1B9D86" w:rsidR="0037701A" w:rsidRPr="00C926EC" w:rsidRDefault="0037701A" w:rsidP="0037701A">
      <w:pPr>
        <w:spacing w:line="480" w:lineRule="auto"/>
        <w:jc w:val="both"/>
        <w:rPr>
          <w:rFonts w:ascii="Arial" w:hAnsi="Arial" w:cs="Arial"/>
          <w:i/>
          <w:sz w:val="24"/>
          <w:szCs w:val="24"/>
          <w:lang w:val="en-US"/>
        </w:rPr>
      </w:pPr>
      <w:r w:rsidRPr="00C926EC">
        <w:rPr>
          <w:rFonts w:ascii="Arial" w:hAnsi="Arial" w:cs="Arial"/>
          <w:i/>
          <w:sz w:val="24"/>
          <w:szCs w:val="24"/>
          <w:lang w:val="en-US"/>
        </w:rPr>
        <w:t>*</w:t>
      </w:r>
      <w:r w:rsidR="00A36A38" w:rsidRPr="00C926EC">
        <w:rPr>
          <w:rFonts w:ascii="Arial" w:hAnsi="Arial" w:cs="Arial"/>
          <w:i/>
          <w:sz w:val="24"/>
          <w:szCs w:val="24"/>
          <w:lang w:val="en-US"/>
        </w:rPr>
        <w:t>Co-c</w:t>
      </w:r>
      <w:r w:rsidRPr="00C926EC">
        <w:rPr>
          <w:rFonts w:ascii="Arial" w:hAnsi="Arial" w:cs="Arial"/>
          <w:i/>
          <w:sz w:val="24"/>
          <w:szCs w:val="24"/>
          <w:lang w:val="en-US"/>
        </w:rPr>
        <w:t>orresponding author</w:t>
      </w:r>
      <w:r w:rsidR="00A36A38" w:rsidRPr="00C926EC">
        <w:rPr>
          <w:rFonts w:ascii="Arial" w:hAnsi="Arial" w:cs="Arial"/>
          <w:i/>
          <w:sz w:val="24"/>
          <w:szCs w:val="24"/>
          <w:lang w:val="en-US"/>
        </w:rPr>
        <w:t>s</w:t>
      </w:r>
      <w:r w:rsidRPr="00C926EC">
        <w:rPr>
          <w:rFonts w:ascii="Arial" w:hAnsi="Arial" w:cs="Arial"/>
          <w:i/>
          <w:sz w:val="24"/>
          <w:szCs w:val="24"/>
          <w:lang w:val="en-US"/>
        </w:rPr>
        <w:t>.</w:t>
      </w:r>
    </w:p>
    <w:p w14:paraId="45E4C911" w14:textId="0DEE4CF0" w:rsidR="0037701A" w:rsidRPr="00C926EC" w:rsidRDefault="0037701A" w:rsidP="0037701A">
      <w:pPr>
        <w:spacing w:line="480" w:lineRule="auto"/>
        <w:jc w:val="both"/>
        <w:rPr>
          <w:rFonts w:ascii="Arial" w:hAnsi="Arial" w:cs="Arial"/>
          <w:i/>
          <w:sz w:val="24"/>
          <w:szCs w:val="24"/>
          <w:lang w:val="en-US"/>
        </w:rPr>
      </w:pPr>
      <w:r w:rsidRPr="00C926EC">
        <w:rPr>
          <w:rFonts w:ascii="Arial" w:hAnsi="Arial" w:cs="Arial"/>
          <w:i/>
          <w:sz w:val="24"/>
          <w:szCs w:val="24"/>
          <w:lang w:val="en-US"/>
        </w:rPr>
        <w:t xml:space="preserve">E-mail address: </w:t>
      </w:r>
      <w:proofErr w:type="gramStart"/>
      <w:r w:rsidR="008B387E" w:rsidRPr="00C926EC">
        <w:rPr>
          <w:rFonts w:ascii="Arial" w:hAnsi="Arial" w:cs="Arial"/>
          <w:i/>
          <w:sz w:val="24"/>
          <w:szCs w:val="24"/>
          <w:lang w:val="en-US"/>
        </w:rPr>
        <w:t xml:space="preserve">fbaena2@us.es </w:t>
      </w:r>
      <w:r w:rsidRPr="00C926EC">
        <w:rPr>
          <w:rFonts w:ascii="Arial" w:hAnsi="Arial" w:cs="Arial"/>
          <w:i/>
          <w:sz w:val="24"/>
          <w:szCs w:val="24"/>
          <w:lang w:val="en-US"/>
        </w:rPr>
        <w:t xml:space="preserve"> (</w:t>
      </w:r>
      <w:proofErr w:type="gramEnd"/>
      <w:r w:rsidR="0042618D" w:rsidRPr="00C926EC">
        <w:rPr>
          <w:rFonts w:ascii="Arial" w:hAnsi="Arial" w:cs="Arial"/>
          <w:i/>
          <w:sz w:val="24"/>
          <w:szCs w:val="24"/>
          <w:lang w:val="en-US"/>
        </w:rPr>
        <w:t xml:space="preserve">F. </w:t>
      </w:r>
      <w:r w:rsidRPr="00C926EC">
        <w:rPr>
          <w:rFonts w:ascii="Arial" w:hAnsi="Arial" w:cs="Arial"/>
          <w:i/>
          <w:sz w:val="24"/>
          <w:szCs w:val="24"/>
          <w:lang w:val="en-US"/>
        </w:rPr>
        <w:t>M. Baena-Moreno)</w:t>
      </w:r>
      <w:r w:rsidR="00083E90" w:rsidRPr="00C926EC">
        <w:rPr>
          <w:rFonts w:ascii="Arial" w:hAnsi="Arial" w:cs="Arial"/>
          <w:i/>
          <w:sz w:val="24"/>
          <w:szCs w:val="24"/>
          <w:lang w:val="en-US"/>
        </w:rPr>
        <w:t xml:space="preserve"> and</w:t>
      </w:r>
      <w:r w:rsidR="00E81EB3" w:rsidRPr="00C926EC">
        <w:rPr>
          <w:rFonts w:ascii="Arial" w:hAnsi="Arial" w:cs="Arial"/>
          <w:i/>
          <w:sz w:val="24"/>
          <w:szCs w:val="24"/>
          <w:lang w:val="en-US"/>
        </w:rPr>
        <w:t xml:space="preserve"> </w:t>
      </w:r>
      <w:r w:rsidR="00083E90" w:rsidRPr="00C926EC">
        <w:rPr>
          <w:rFonts w:ascii="Arial" w:hAnsi="Arial" w:cs="Arial"/>
          <w:i/>
          <w:sz w:val="24"/>
          <w:szCs w:val="24"/>
          <w:lang w:val="en-US"/>
        </w:rPr>
        <w:t>t.ramirezreina@surrey.ac.uk</w:t>
      </w:r>
      <w:r w:rsidR="008B387E" w:rsidRPr="00C926EC">
        <w:rPr>
          <w:rFonts w:ascii="Arial" w:hAnsi="Arial" w:cs="Arial"/>
          <w:i/>
          <w:sz w:val="24"/>
          <w:szCs w:val="24"/>
          <w:lang w:val="en-US"/>
        </w:rPr>
        <w:t xml:space="preserve"> </w:t>
      </w:r>
      <w:r w:rsidR="00E81EB3" w:rsidRPr="00C926EC">
        <w:rPr>
          <w:rFonts w:ascii="Arial" w:hAnsi="Arial" w:cs="Arial"/>
          <w:i/>
          <w:sz w:val="24"/>
          <w:szCs w:val="24"/>
          <w:lang w:val="en-US"/>
        </w:rPr>
        <w:t xml:space="preserve"> (T. R. Reina)</w:t>
      </w:r>
    </w:p>
    <w:p w14:paraId="2ABAE572" w14:textId="657CF082" w:rsidR="005A16F2" w:rsidRPr="00C926EC" w:rsidRDefault="00200A6C" w:rsidP="00200A6C">
      <w:pPr>
        <w:spacing w:line="480" w:lineRule="auto"/>
        <w:jc w:val="both"/>
        <w:rPr>
          <w:rFonts w:ascii="Arial" w:hAnsi="Arial" w:cs="Arial"/>
          <w:b/>
          <w:sz w:val="24"/>
          <w:szCs w:val="24"/>
          <w:lang w:val="en-US"/>
        </w:rPr>
      </w:pPr>
      <w:r w:rsidRPr="00C926EC">
        <w:rPr>
          <w:rFonts w:ascii="Arial" w:hAnsi="Arial" w:cs="Arial"/>
          <w:b/>
          <w:sz w:val="24"/>
          <w:szCs w:val="24"/>
          <w:lang w:val="en-US"/>
        </w:rPr>
        <w:t>Abstract</w:t>
      </w:r>
    </w:p>
    <w:p w14:paraId="5736904D" w14:textId="6DBE0CF1" w:rsidR="0091758E" w:rsidRPr="00C926EC" w:rsidRDefault="0091758E" w:rsidP="0091758E">
      <w:pPr>
        <w:spacing w:line="480" w:lineRule="auto"/>
        <w:jc w:val="both"/>
        <w:rPr>
          <w:rFonts w:ascii="Arial" w:hAnsi="Arial" w:cs="Arial"/>
          <w:sz w:val="24"/>
          <w:szCs w:val="24"/>
          <w:lang w:val="en-US"/>
        </w:rPr>
      </w:pPr>
      <w:r w:rsidRPr="00C926EC">
        <w:rPr>
          <w:rFonts w:ascii="Arial" w:hAnsi="Arial" w:cs="Arial"/>
          <w:bCs/>
          <w:sz w:val="24"/>
          <w:szCs w:val="24"/>
          <w:lang w:val="en-US"/>
        </w:rPr>
        <w:t xml:space="preserve">In this work, the use of biomethane produced from local biogas plants is proposed as renewable fuel for light marine transport. A profitability analysis is performed for three real biogas production plants located in Cornwall (United Kingdom), considering a total of 66 different scenarios where critical parameters such as </w:t>
      </w:r>
      <w:r w:rsidRPr="00C926EC">
        <w:rPr>
          <w:rFonts w:ascii="Arial" w:hAnsi="Arial" w:cs="Arial"/>
          <w:bCs/>
          <w:sz w:val="24"/>
          <w:szCs w:val="24"/>
          <w:lang w:val="en-US"/>
        </w:rPr>
        <w:lastRenderedPageBreak/>
        <w:t>distance from production point to gas grid, subsidies, etcetera, were evaluated. Even though the idea is promising to decarbonize the marine transport sector, under the current conditions</w:t>
      </w:r>
      <w:r w:rsidR="00D70940" w:rsidRPr="00C926EC">
        <w:rPr>
          <w:rFonts w:ascii="Arial" w:hAnsi="Arial" w:cs="Arial"/>
          <w:bCs/>
          <w:sz w:val="24"/>
          <w:szCs w:val="24"/>
          <w:lang w:val="en-US"/>
        </w:rPr>
        <w:t>,</w:t>
      </w:r>
      <w:r w:rsidRPr="00C926EC">
        <w:rPr>
          <w:rFonts w:ascii="Arial" w:hAnsi="Arial" w:cs="Arial"/>
          <w:bCs/>
          <w:sz w:val="24"/>
          <w:szCs w:val="24"/>
          <w:lang w:val="en-US"/>
        </w:rPr>
        <w:t xml:space="preserve"> the approach is not profitable. The results show that profitability depends on the size of the biogas plant. The largest biogas plant studied can be profitable if feed-in tariffs subsidies between </w:t>
      </w:r>
      <w:r w:rsidRPr="00C926EC">
        <w:rPr>
          <w:rFonts w:ascii="Arial" w:hAnsi="Arial" w:cs="Arial"/>
          <w:sz w:val="24"/>
          <w:szCs w:val="24"/>
          <w:lang w:val="en-US"/>
        </w:rPr>
        <w:t>36.6 and 45.7 €/MWh are reached, while for the smallest plant</w:t>
      </w:r>
      <w:r w:rsidR="00D70940" w:rsidRPr="00C926EC">
        <w:rPr>
          <w:rFonts w:ascii="Arial" w:hAnsi="Arial" w:cs="Arial"/>
          <w:sz w:val="24"/>
          <w:szCs w:val="24"/>
          <w:lang w:val="en-US"/>
        </w:rPr>
        <w:t>,</w:t>
      </w:r>
      <w:r w:rsidRPr="00C926EC">
        <w:rPr>
          <w:rFonts w:ascii="Arial" w:hAnsi="Arial" w:cs="Arial"/>
          <w:sz w:val="24"/>
          <w:szCs w:val="24"/>
          <w:lang w:val="en-US"/>
        </w:rPr>
        <w:t xml:space="preserve"> subsidies should range between 65 and 82.7 €/MWh. The </w:t>
      </w:r>
      <w:r w:rsidR="00B968A4" w:rsidRPr="00C926EC">
        <w:rPr>
          <w:rFonts w:ascii="Arial" w:hAnsi="Arial" w:cs="Arial"/>
          <w:sz w:val="24"/>
          <w:szCs w:val="24"/>
          <w:lang w:val="en-US"/>
        </w:rPr>
        <w:t>tax</w:t>
      </w:r>
      <w:r w:rsidRPr="00C926EC">
        <w:rPr>
          <w:rFonts w:ascii="Arial" w:hAnsi="Arial" w:cs="Arial"/>
          <w:sz w:val="24"/>
          <w:szCs w:val="24"/>
          <w:lang w:val="en-US"/>
        </w:rPr>
        <w:t xml:space="preserve"> to be paid per ton of CO</w:t>
      </w:r>
      <w:r w:rsidRPr="00C926EC">
        <w:rPr>
          <w:rFonts w:ascii="Arial" w:hAnsi="Arial" w:cs="Arial"/>
          <w:sz w:val="24"/>
          <w:szCs w:val="24"/>
          <w:vertAlign w:val="subscript"/>
          <w:lang w:val="en-US"/>
        </w:rPr>
        <w:t xml:space="preserve">2 </w:t>
      </w:r>
      <w:r w:rsidRPr="00C926EC">
        <w:rPr>
          <w:rFonts w:ascii="Arial" w:hAnsi="Arial" w:cs="Arial"/>
          <w:sz w:val="24"/>
          <w:szCs w:val="24"/>
          <w:lang w:val="en-US"/>
        </w:rPr>
        <w:t>emitted by the shipping owner</w:t>
      </w:r>
      <w:r w:rsidR="000B4276" w:rsidRPr="00C926EC">
        <w:rPr>
          <w:rFonts w:ascii="Arial" w:hAnsi="Arial" w:cs="Arial"/>
          <w:sz w:val="24"/>
          <w:szCs w:val="24"/>
          <w:lang w:val="en-US"/>
        </w:rPr>
        <w:t xml:space="preserve">, </w:t>
      </w:r>
      <w:r w:rsidRPr="00C926EC">
        <w:rPr>
          <w:rFonts w:ascii="Arial" w:hAnsi="Arial" w:cs="Arial"/>
          <w:sz w:val="24"/>
          <w:szCs w:val="24"/>
          <w:lang w:val="en-US"/>
        </w:rPr>
        <w:t xml:space="preserve">was also examined given its impact in this green route profitability. Values seven times greater than current </w:t>
      </w:r>
      <w:r w:rsidR="000B4276" w:rsidRPr="00C926EC">
        <w:rPr>
          <w:rFonts w:ascii="Arial" w:hAnsi="Arial" w:cs="Arial"/>
          <w:sz w:val="24"/>
          <w:szCs w:val="24"/>
          <w:lang w:val="en-US"/>
        </w:rPr>
        <w:t>taxes</w:t>
      </w:r>
      <w:r w:rsidRPr="00C926EC">
        <w:rPr>
          <w:rFonts w:ascii="Arial" w:hAnsi="Arial" w:cs="Arial"/>
          <w:sz w:val="24"/>
          <w:szCs w:val="24"/>
          <w:lang w:val="en-US"/>
        </w:rPr>
        <w:t xml:space="preserve"> are needed to reach profitability, revealing the lack of competitiveness of renewable fuels </w:t>
      </w:r>
      <w:r w:rsidRPr="00C926EC">
        <w:rPr>
          <w:rFonts w:ascii="Arial" w:hAnsi="Arial" w:cs="Arial"/>
          <w:i/>
          <w:iCs/>
          <w:sz w:val="24"/>
          <w:szCs w:val="24"/>
          <w:lang w:val="en-US"/>
        </w:rPr>
        <w:t>vs</w:t>
      </w:r>
      <w:r w:rsidRPr="00C926EC">
        <w:rPr>
          <w:rFonts w:ascii="Arial" w:hAnsi="Arial" w:cs="Arial"/>
          <w:sz w:val="24"/>
          <w:szCs w:val="24"/>
          <w:lang w:val="en-US"/>
        </w:rPr>
        <w:t xml:space="preserve"> traditional fuels in this application. Subsidies to make up a percentage of the investment are also proposed, revealing that even at 100% of investment subsidized, this green approach is still not profitable. The results highlight the need for further ambitious political actions in the pursuit of sustainable societies.</w:t>
      </w:r>
    </w:p>
    <w:p w14:paraId="3402BC24" w14:textId="77777777" w:rsidR="0091758E" w:rsidRPr="00C926EC" w:rsidRDefault="0091758E" w:rsidP="0091758E">
      <w:pPr>
        <w:spacing w:line="480" w:lineRule="auto"/>
        <w:jc w:val="both"/>
        <w:rPr>
          <w:rFonts w:ascii="Arial" w:hAnsi="Arial" w:cs="Arial"/>
          <w:sz w:val="24"/>
          <w:szCs w:val="24"/>
          <w:lang w:val="en-US"/>
        </w:rPr>
      </w:pPr>
    </w:p>
    <w:p w14:paraId="52332CB9" w14:textId="225EC90E" w:rsidR="00A65325" w:rsidRPr="00C926EC" w:rsidRDefault="009E0158" w:rsidP="00200A6C">
      <w:pPr>
        <w:spacing w:line="480" w:lineRule="auto"/>
        <w:jc w:val="both"/>
        <w:rPr>
          <w:rFonts w:ascii="Arial" w:hAnsi="Arial" w:cs="Arial"/>
          <w:b/>
          <w:bCs/>
          <w:sz w:val="24"/>
          <w:szCs w:val="24"/>
          <w:u w:val="single"/>
          <w:lang w:val="en-US"/>
        </w:rPr>
      </w:pPr>
      <w:r w:rsidRPr="00C926EC">
        <w:rPr>
          <w:rFonts w:ascii="Arial" w:hAnsi="Arial" w:cs="Arial"/>
          <w:b/>
          <w:bCs/>
          <w:sz w:val="24"/>
          <w:szCs w:val="24"/>
          <w:u w:val="single"/>
          <w:lang w:val="en-US"/>
        </w:rPr>
        <w:t xml:space="preserve">List of abbreviations </w:t>
      </w:r>
    </w:p>
    <w:p w14:paraId="2953D2D6" w14:textId="3BCA5A65" w:rsidR="00AA4E0F" w:rsidRPr="00C926EC" w:rsidRDefault="00AA4E0F" w:rsidP="00200A6C">
      <w:pPr>
        <w:spacing w:line="480" w:lineRule="auto"/>
        <w:jc w:val="both"/>
        <w:rPr>
          <w:rFonts w:ascii="Arial" w:hAnsi="Arial" w:cs="Arial"/>
          <w:sz w:val="24"/>
          <w:szCs w:val="24"/>
          <w:lang w:val="en-US"/>
        </w:rPr>
      </w:pPr>
      <w:r w:rsidRPr="00C926EC">
        <w:rPr>
          <w:rFonts w:ascii="Arial" w:hAnsi="Arial" w:cs="Arial"/>
          <w:sz w:val="24"/>
          <w:szCs w:val="24"/>
          <w:lang w:val="en-US"/>
        </w:rPr>
        <w:t xml:space="preserve">CHP Combined Heat and Power </w:t>
      </w:r>
    </w:p>
    <w:p w14:paraId="5CFA9919" w14:textId="394D3066" w:rsidR="0028722F" w:rsidRPr="00C926EC" w:rsidRDefault="0028722F" w:rsidP="00200A6C">
      <w:pPr>
        <w:spacing w:line="480" w:lineRule="auto"/>
        <w:jc w:val="both"/>
        <w:rPr>
          <w:rFonts w:ascii="Arial" w:hAnsi="Arial" w:cs="Arial"/>
          <w:sz w:val="24"/>
          <w:szCs w:val="24"/>
          <w:lang w:val="en-US"/>
        </w:rPr>
      </w:pPr>
      <w:r w:rsidRPr="00C926EC">
        <w:rPr>
          <w:rFonts w:ascii="Arial" w:hAnsi="Arial" w:cs="Arial"/>
          <w:sz w:val="24"/>
          <w:szCs w:val="24"/>
          <w:lang w:val="en-US"/>
        </w:rPr>
        <w:t xml:space="preserve">LNG Liquefied </w:t>
      </w:r>
      <w:r w:rsidR="00641CB8" w:rsidRPr="00C926EC">
        <w:rPr>
          <w:rFonts w:ascii="Arial" w:hAnsi="Arial" w:cs="Arial"/>
          <w:sz w:val="24"/>
          <w:szCs w:val="24"/>
          <w:lang w:val="en-US"/>
        </w:rPr>
        <w:t>N</w:t>
      </w:r>
      <w:r w:rsidRPr="00C926EC">
        <w:rPr>
          <w:rFonts w:ascii="Arial" w:hAnsi="Arial" w:cs="Arial"/>
          <w:sz w:val="24"/>
          <w:szCs w:val="24"/>
          <w:lang w:val="en-US"/>
        </w:rPr>
        <w:t xml:space="preserve">atural </w:t>
      </w:r>
      <w:r w:rsidR="00641CB8" w:rsidRPr="00C926EC">
        <w:rPr>
          <w:rFonts w:ascii="Arial" w:hAnsi="Arial" w:cs="Arial"/>
          <w:sz w:val="24"/>
          <w:szCs w:val="24"/>
          <w:lang w:val="en-US"/>
        </w:rPr>
        <w:t>G</w:t>
      </w:r>
      <w:r w:rsidRPr="00C926EC">
        <w:rPr>
          <w:rFonts w:ascii="Arial" w:hAnsi="Arial" w:cs="Arial"/>
          <w:sz w:val="24"/>
          <w:szCs w:val="24"/>
          <w:lang w:val="en-US"/>
        </w:rPr>
        <w:t xml:space="preserve">as </w:t>
      </w:r>
    </w:p>
    <w:p w14:paraId="61468AE0" w14:textId="231E7700" w:rsidR="00641CB8" w:rsidRPr="00C926EC" w:rsidRDefault="00641CB8" w:rsidP="00200A6C">
      <w:pPr>
        <w:spacing w:line="480" w:lineRule="auto"/>
        <w:jc w:val="both"/>
        <w:rPr>
          <w:rFonts w:ascii="Arial" w:hAnsi="Arial" w:cs="Arial"/>
          <w:sz w:val="24"/>
          <w:szCs w:val="24"/>
          <w:lang w:val="en-US"/>
        </w:rPr>
      </w:pPr>
      <w:r w:rsidRPr="00C926EC">
        <w:rPr>
          <w:rFonts w:ascii="Arial" w:hAnsi="Arial" w:cs="Arial"/>
          <w:sz w:val="24"/>
          <w:szCs w:val="24"/>
          <w:lang w:val="en-US"/>
        </w:rPr>
        <w:t>CNG Compressed Natural Gas</w:t>
      </w:r>
    </w:p>
    <w:p w14:paraId="703FFBE3" w14:textId="58CC9491" w:rsidR="00EA5A00" w:rsidRPr="00C926EC" w:rsidRDefault="001C278E" w:rsidP="00200A6C">
      <w:pPr>
        <w:spacing w:line="480" w:lineRule="auto"/>
        <w:jc w:val="both"/>
        <w:rPr>
          <w:rFonts w:ascii="Arial" w:hAnsi="Arial" w:cs="Arial"/>
          <w:sz w:val="24"/>
          <w:szCs w:val="24"/>
          <w:lang w:val="en-US"/>
        </w:rPr>
      </w:pPr>
      <w:r w:rsidRPr="00C926EC">
        <w:rPr>
          <w:rFonts w:ascii="Arial" w:hAnsi="Arial" w:cs="Arial"/>
          <w:sz w:val="24"/>
          <w:szCs w:val="24"/>
          <w:lang w:val="en-US"/>
        </w:rPr>
        <w:t>DCF Discounted Cash Flow</w:t>
      </w:r>
    </w:p>
    <w:p w14:paraId="3B6C663A" w14:textId="6CDC1834" w:rsidR="001C278E" w:rsidRPr="00C926EC" w:rsidRDefault="001C278E" w:rsidP="00200A6C">
      <w:pPr>
        <w:spacing w:line="480" w:lineRule="auto"/>
        <w:jc w:val="both"/>
        <w:rPr>
          <w:rFonts w:ascii="Arial" w:hAnsi="Arial" w:cs="Arial"/>
          <w:sz w:val="24"/>
          <w:szCs w:val="24"/>
          <w:lang w:val="en-US"/>
        </w:rPr>
      </w:pPr>
      <w:r w:rsidRPr="00C926EC">
        <w:rPr>
          <w:rFonts w:ascii="Arial" w:hAnsi="Arial" w:cs="Arial"/>
          <w:sz w:val="24"/>
          <w:szCs w:val="24"/>
          <w:lang w:val="en-US"/>
        </w:rPr>
        <w:t>NPV Net Present Value (k€)</w:t>
      </w:r>
    </w:p>
    <w:p w14:paraId="4078CA60" w14:textId="107C8E07" w:rsidR="001C278E" w:rsidRPr="00C926EC" w:rsidRDefault="001C278E" w:rsidP="00200A6C">
      <w:pPr>
        <w:spacing w:line="480" w:lineRule="auto"/>
        <w:jc w:val="both"/>
        <w:rPr>
          <w:rFonts w:ascii="Arial" w:hAnsi="Arial" w:cs="Arial"/>
          <w:sz w:val="24"/>
          <w:szCs w:val="24"/>
          <w:lang w:val="en-US"/>
        </w:rPr>
      </w:pPr>
      <w:r w:rsidRPr="00C926EC">
        <w:rPr>
          <w:rFonts w:ascii="Arial" w:hAnsi="Arial" w:cs="Arial"/>
          <w:sz w:val="24"/>
          <w:szCs w:val="24"/>
          <w:lang w:val="en-US"/>
        </w:rPr>
        <w:t>DPBT Discounted Payback Time (years)</w:t>
      </w:r>
    </w:p>
    <w:p w14:paraId="1D04E5A4" w14:textId="6FDE4C67" w:rsidR="001C278E" w:rsidRPr="00C926EC" w:rsidRDefault="001C278E" w:rsidP="00200A6C">
      <w:pPr>
        <w:spacing w:line="480" w:lineRule="auto"/>
        <w:jc w:val="both"/>
        <w:rPr>
          <w:rFonts w:ascii="Arial" w:hAnsi="Arial" w:cs="Arial"/>
          <w:sz w:val="24"/>
          <w:szCs w:val="24"/>
          <w:lang w:val="en-US"/>
        </w:rPr>
      </w:pPr>
      <w:r w:rsidRPr="00C926EC">
        <w:rPr>
          <w:rFonts w:ascii="Arial" w:hAnsi="Arial" w:cs="Arial"/>
          <w:sz w:val="24"/>
          <w:szCs w:val="24"/>
          <w:lang w:val="en-US"/>
        </w:rPr>
        <w:lastRenderedPageBreak/>
        <w:t>PI Profitability Index (€/€)</w:t>
      </w:r>
    </w:p>
    <w:p w14:paraId="3E260F4B" w14:textId="506F6AD9" w:rsidR="00E13E6D" w:rsidRPr="00C926EC" w:rsidRDefault="00E13E6D" w:rsidP="00200A6C">
      <w:pPr>
        <w:spacing w:line="480" w:lineRule="auto"/>
        <w:jc w:val="both"/>
        <w:rPr>
          <w:rFonts w:ascii="Arial" w:hAnsi="Arial" w:cs="Arial"/>
          <w:sz w:val="24"/>
          <w:szCs w:val="24"/>
          <w:lang w:val="en-US"/>
        </w:rPr>
      </w:pPr>
      <w:r w:rsidRPr="00C926EC">
        <w:rPr>
          <w:rFonts w:ascii="Arial" w:hAnsi="Arial" w:cs="Arial"/>
          <w:sz w:val="24"/>
          <w:szCs w:val="24"/>
          <w:lang w:val="en-US"/>
        </w:rPr>
        <w:t>I</w:t>
      </w:r>
      <w:r w:rsidRPr="00C926EC">
        <w:rPr>
          <w:rFonts w:ascii="Arial" w:hAnsi="Arial" w:cs="Arial"/>
          <w:sz w:val="24"/>
          <w:szCs w:val="24"/>
          <w:vertAlign w:val="subscript"/>
          <w:lang w:val="en-US"/>
        </w:rPr>
        <w:t>t</w:t>
      </w:r>
      <w:r w:rsidRPr="00C926EC">
        <w:rPr>
          <w:rFonts w:ascii="Arial" w:hAnsi="Arial" w:cs="Arial"/>
          <w:sz w:val="24"/>
          <w:szCs w:val="24"/>
          <w:lang w:val="en-US"/>
        </w:rPr>
        <w:t xml:space="preserve"> Cash inflows (€)</w:t>
      </w:r>
    </w:p>
    <w:p w14:paraId="02256029" w14:textId="15FC524D" w:rsidR="00E13E6D" w:rsidRPr="00C926EC" w:rsidRDefault="00E13E6D" w:rsidP="00200A6C">
      <w:pPr>
        <w:spacing w:line="480" w:lineRule="auto"/>
        <w:jc w:val="both"/>
        <w:rPr>
          <w:rFonts w:ascii="Arial" w:hAnsi="Arial" w:cs="Arial"/>
          <w:sz w:val="24"/>
          <w:szCs w:val="24"/>
          <w:lang w:val="en-US"/>
        </w:rPr>
      </w:pPr>
      <w:proofErr w:type="spellStart"/>
      <w:r w:rsidRPr="00C926EC">
        <w:rPr>
          <w:rFonts w:ascii="Arial" w:hAnsi="Arial" w:cs="Arial"/>
          <w:sz w:val="24"/>
          <w:szCs w:val="24"/>
          <w:lang w:val="en-US"/>
        </w:rPr>
        <w:t>O</w:t>
      </w:r>
      <w:r w:rsidRPr="00C926EC">
        <w:rPr>
          <w:rFonts w:ascii="Arial" w:hAnsi="Arial" w:cs="Arial"/>
          <w:sz w:val="24"/>
          <w:szCs w:val="24"/>
          <w:vertAlign w:val="subscript"/>
          <w:lang w:val="en-US"/>
        </w:rPr>
        <w:t>t</w:t>
      </w:r>
      <w:proofErr w:type="spellEnd"/>
      <w:r w:rsidRPr="00C926EC">
        <w:rPr>
          <w:rFonts w:ascii="Arial" w:hAnsi="Arial" w:cs="Arial"/>
          <w:sz w:val="24"/>
          <w:szCs w:val="24"/>
          <w:lang w:val="en-US"/>
        </w:rPr>
        <w:t xml:space="preserve"> Cash outflows (€)</w:t>
      </w:r>
    </w:p>
    <w:p w14:paraId="0BEE05BB" w14:textId="7A9C7A76" w:rsidR="00E13E6D" w:rsidRPr="00C926EC" w:rsidRDefault="00E13E6D" w:rsidP="00200A6C">
      <w:pPr>
        <w:spacing w:line="480" w:lineRule="auto"/>
        <w:jc w:val="both"/>
        <w:rPr>
          <w:rFonts w:ascii="Arial" w:hAnsi="Arial" w:cs="Arial"/>
          <w:sz w:val="24"/>
          <w:szCs w:val="24"/>
          <w:lang w:val="en-US"/>
        </w:rPr>
      </w:pPr>
      <w:proofErr w:type="spellStart"/>
      <w:r w:rsidRPr="00C926EC">
        <w:rPr>
          <w:rFonts w:ascii="Arial" w:hAnsi="Arial" w:cs="Arial"/>
          <w:sz w:val="24"/>
          <w:szCs w:val="24"/>
          <w:lang w:val="en-US"/>
        </w:rPr>
        <w:t>r</w:t>
      </w:r>
      <w:r w:rsidRPr="00C926EC">
        <w:rPr>
          <w:rFonts w:ascii="Arial" w:hAnsi="Arial" w:cs="Arial"/>
          <w:sz w:val="24"/>
          <w:szCs w:val="24"/>
          <w:vertAlign w:val="subscript"/>
          <w:lang w:val="en-US"/>
        </w:rPr>
        <w:t>d</w:t>
      </w:r>
      <w:proofErr w:type="spellEnd"/>
      <w:r w:rsidRPr="00C926EC">
        <w:rPr>
          <w:rFonts w:ascii="Arial" w:hAnsi="Arial" w:cs="Arial"/>
          <w:sz w:val="24"/>
          <w:szCs w:val="24"/>
          <w:lang w:val="en-US"/>
        </w:rPr>
        <w:t xml:space="preserve"> Discount rate (%)</w:t>
      </w:r>
    </w:p>
    <w:p w14:paraId="601308A3" w14:textId="1449E99D" w:rsidR="00E13E6D" w:rsidRPr="00C926EC" w:rsidRDefault="00E13E6D" w:rsidP="00200A6C">
      <w:pPr>
        <w:spacing w:line="480" w:lineRule="auto"/>
        <w:jc w:val="both"/>
        <w:rPr>
          <w:rFonts w:ascii="Arial" w:hAnsi="Arial" w:cs="Arial"/>
          <w:sz w:val="24"/>
          <w:szCs w:val="24"/>
          <w:lang w:val="en-US"/>
        </w:rPr>
      </w:pPr>
      <w:r w:rsidRPr="00C926EC">
        <w:rPr>
          <w:rFonts w:ascii="Arial" w:hAnsi="Arial" w:cs="Arial"/>
          <w:sz w:val="24"/>
          <w:szCs w:val="24"/>
          <w:lang w:val="en-US"/>
        </w:rPr>
        <w:t xml:space="preserve">n </w:t>
      </w:r>
      <w:r w:rsidR="00641CB8" w:rsidRPr="00C926EC">
        <w:rPr>
          <w:rFonts w:ascii="Arial" w:hAnsi="Arial" w:cs="Arial"/>
          <w:sz w:val="24"/>
          <w:szCs w:val="24"/>
          <w:lang w:val="en-US"/>
        </w:rPr>
        <w:t>L</w:t>
      </w:r>
      <w:r w:rsidR="0023008F" w:rsidRPr="00C926EC">
        <w:rPr>
          <w:rFonts w:ascii="Arial" w:hAnsi="Arial" w:cs="Arial"/>
          <w:sz w:val="24"/>
          <w:szCs w:val="24"/>
          <w:lang w:val="en-US"/>
        </w:rPr>
        <w:t>ifetime of the project</w:t>
      </w:r>
      <w:r w:rsidRPr="00C926EC">
        <w:rPr>
          <w:rFonts w:ascii="Arial" w:hAnsi="Arial" w:cs="Arial"/>
          <w:sz w:val="24"/>
          <w:szCs w:val="24"/>
          <w:lang w:val="en-US"/>
        </w:rPr>
        <w:t xml:space="preserve"> (years)</w:t>
      </w:r>
    </w:p>
    <w:p w14:paraId="0C70693E" w14:textId="05F82EDA" w:rsidR="00E13E6D" w:rsidRPr="00C926EC" w:rsidRDefault="00E13E6D" w:rsidP="00200A6C">
      <w:pPr>
        <w:spacing w:line="480" w:lineRule="auto"/>
        <w:jc w:val="both"/>
        <w:rPr>
          <w:rFonts w:ascii="Arial" w:hAnsi="Arial" w:cs="Arial"/>
          <w:sz w:val="24"/>
          <w:szCs w:val="24"/>
          <w:lang w:val="en-US"/>
        </w:rPr>
      </w:pPr>
      <w:r w:rsidRPr="00C926EC">
        <w:rPr>
          <w:rFonts w:ascii="Arial" w:hAnsi="Arial" w:cs="Arial"/>
          <w:sz w:val="24"/>
          <w:szCs w:val="24"/>
          <w:lang w:val="en-US"/>
        </w:rPr>
        <w:t xml:space="preserve">t </w:t>
      </w:r>
      <w:r w:rsidR="00641CB8" w:rsidRPr="00C926EC">
        <w:rPr>
          <w:rFonts w:ascii="Arial" w:hAnsi="Arial" w:cs="Arial"/>
          <w:sz w:val="24"/>
          <w:szCs w:val="24"/>
          <w:lang w:val="en-US"/>
        </w:rPr>
        <w:t>T</w:t>
      </w:r>
      <w:r w:rsidRPr="00C926EC">
        <w:rPr>
          <w:rFonts w:ascii="Arial" w:hAnsi="Arial" w:cs="Arial"/>
          <w:sz w:val="24"/>
          <w:szCs w:val="24"/>
          <w:lang w:val="en-US"/>
        </w:rPr>
        <w:t>ime (years)</w:t>
      </w:r>
    </w:p>
    <w:p w14:paraId="41C2AF66" w14:textId="7534F0A3" w:rsidR="00E13E6D" w:rsidRPr="00C926EC" w:rsidRDefault="00E13E6D" w:rsidP="00200A6C">
      <w:pPr>
        <w:spacing w:line="480" w:lineRule="auto"/>
        <w:jc w:val="both"/>
        <w:rPr>
          <w:rFonts w:ascii="Arial" w:hAnsi="Arial" w:cs="Arial"/>
          <w:sz w:val="24"/>
          <w:szCs w:val="24"/>
          <w:lang w:val="en-US"/>
        </w:rPr>
      </w:pPr>
      <w:proofErr w:type="spellStart"/>
      <w:r w:rsidRPr="00C926EC">
        <w:rPr>
          <w:rFonts w:ascii="Arial" w:hAnsi="Arial" w:cs="Arial"/>
          <w:sz w:val="24"/>
          <w:szCs w:val="24"/>
          <w:lang w:val="en-US"/>
        </w:rPr>
        <w:t>C</w:t>
      </w:r>
      <w:r w:rsidRPr="00C926EC">
        <w:rPr>
          <w:rFonts w:ascii="Arial" w:hAnsi="Arial" w:cs="Arial"/>
          <w:sz w:val="24"/>
          <w:szCs w:val="24"/>
          <w:vertAlign w:val="subscript"/>
          <w:lang w:val="en-US"/>
        </w:rPr>
        <w:t>inv</w:t>
      </w:r>
      <w:proofErr w:type="spellEnd"/>
      <w:r w:rsidRPr="00C926EC">
        <w:rPr>
          <w:rFonts w:ascii="Arial" w:hAnsi="Arial" w:cs="Arial"/>
          <w:sz w:val="24"/>
          <w:szCs w:val="24"/>
          <w:lang w:val="en-US"/>
        </w:rPr>
        <w:t xml:space="preserve"> Investment cost (€)</w:t>
      </w:r>
    </w:p>
    <w:p w14:paraId="0B008C0A" w14:textId="0908E657" w:rsidR="0023008F" w:rsidRPr="00C926EC" w:rsidRDefault="0023008F" w:rsidP="00200A6C">
      <w:pPr>
        <w:spacing w:line="480" w:lineRule="auto"/>
        <w:jc w:val="both"/>
        <w:rPr>
          <w:rFonts w:ascii="Arial" w:eastAsiaTheme="minorEastAsia" w:hAnsi="Arial" w:cs="Arial"/>
          <w:sz w:val="24"/>
          <w:szCs w:val="24"/>
          <w:lang w:val="en-US"/>
        </w:rPr>
      </w:pPr>
      <w:r w:rsidRPr="00C926EC">
        <w:rPr>
          <w:rFonts w:ascii="Arial" w:eastAsiaTheme="minorEastAsia" w:hAnsi="Arial" w:cs="Arial"/>
          <w:sz w:val="24"/>
          <w:szCs w:val="24"/>
          <w:lang w:val="en-US"/>
        </w:rPr>
        <w:t xml:space="preserve">BU Biogas </w:t>
      </w:r>
      <w:r w:rsidR="00641CB8" w:rsidRPr="00C926EC">
        <w:rPr>
          <w:rFonts w:ascii="Arial" w:eastAsiaTheme="minorEastAsia" w:hAnsi="Arial" w:cs="Arial"/>
          <w:sz w:val="24"/>
          <w:szCs w:val="24"/>
          <w:lang w:val="en-US"/>
        </w:rPr>
        <w:t>U</w:t>
      </w:r>
      <w:r w:rsidRPr="00C926EC">
        <w:rPr>
          <w:rFonts w:ascii="Arial" w:eastAsiaTheme="minorEastAsia" w:hAnsi="Arial" w:cs="Arial"/>
          <w:sz w:val="24"/>
          <w:szCs w:val="24"/>
          <w:lang w:val="en-US"/>
        </w:rPr>
        <w:t xml:space="preserve">pgrading </w:t>
      </w:r>
    </w:p>
    <w:p w14:paraId="2C6E1D1F" w14:textId="4907A24C" w:rsidR="0023008F" w:rsidRPr="00C926EC" w:rsidRDefault="0023008F" w:rsidP="00200A6C">
      <w:pPr>
        <w:spacing w:line="480" w:lineRule="auto"/>
        <w:jc w:val="both"/>
        <w:rPr>
          <w:rFonts w:ascii="Arial" w:eastAsiaTheme="minorEastAsia" w:hAnsi="Arial" w:cs="Arial"/>
          <w:sz w:val="24"/>
          <w:szCs w:val="24"/>
          <w:lang w:val="en-US"/>
        </w:rPr>
      </w:pPr>
      <w:r w:rsidRPr="00C926EC">
        <w:rPr>
          <w:rFonts w:ascii="Arial" w:eastAsiaTheme="minorEastAsia" w:hAnsi="Arial" w:cs="Arial"/>
          <w:sz w:val="24"/>
          <w:szCs w:val="24"/>
          <w:lang w:val="en-US"/>
        </w:rPr>
        <w:t xml:space="preserve">DB Biogas </w:t>
      </w:r>
      <w:r w:rsidR="00641CB8" w:rsidRPr="00C926EC">
        <w:rPr>
          <w:rFonts w:ascii="Arial" w:eastAsiaTheme="minorEastAsia" w:hAnsi="Arial" w:cs="Arial"/>
          <w:sz w:val="24"/>
          <w:szCs w:val="24"/>
          <w:lang w:val="en-US"/>
        </w:rPr>
        <w:t>D</w:t>
      </w:r>
      <w:r w:rsidRPr="00C926EC">
        <w:rPr>
          <w:rFonts w:ascii="Arial" w:eastAsiaTheme="minorEastAsia" w:hAnsi="Arial" w:cs="Arial"/>
          <w:sz w:val="24"/>
          <w:szCs w:val="24"/>
          <w:lang w:val="en-US"/>
        </w:rPr>
        <w:t>istribution</w:t>
      </w:r>
    </w:p>
    <w:p w14:paraId="5D26F3BF" w14:textId="50FE659F" w:rsidR="00AA4E0F" w:rsidRPr="00C926EC" w:rsidRDefault="00AA4E0F" w:rsidP="00200A6C">
      <w:pPr>
        <w:spacing w:line="480" w:lineRule="auto"/>
        <w:jc w:val="both"/>
        <w:rPr>
          <w:rFonts w:ascii="Arial" w:eastAsiaTheme="minorEastAsia" w:hAnsi="Arial" w:cs="Arial"/>
          <w:sz w:val="24"/>
          <w:szCs w:val="24"/>
          <w:lang w:val="en-US"/>
        </w:rPr>
      </w:pPr>
      <w:proofErr w:type="spellStart"/>
      <w:r w:rsidRPr="00C926EC">
        <w:rPr>
          <w:rFonts w:ascii="Arial" w:eastAsiaTheme="minorEastAsia" w:hAnsi="Arial" w:cs="Arial"/>
          <w:sz w:val="24"/>
          <w:szCs w:val="24"/>
          <w:lang w:val="en-US"/>
        </w:rPr>
        <w:t>r</w:t>
      </w:r>
      <w:r w:rsidRPr="00C926EC">
        <w:rPr>
          <w:rFonts w:ascii="Arial" w:eastAsiaTheme="minorEastAsia" w:hAnsi="Arial" w:cs="Arial"/>
          <w:sz w:val="24"/>
          <w:szCs w:val="24"/>
          <w:vertAlign w:val="subscript"/>
          <w:lang w:val="en-US"/>
        </w:rPr>
        <w:t>int</w:t>
      </w:r>
      <w:proofErr w:type="spellEnd"/>
      <w:r w:rsidRPr="00C926EC">
        <w:rPr>
          <w:rFonts w:ascii="Arial" w:eastAsiaTheme="minorEastAsia" w:hAnsi="Arial" w:cs="Arial"/>
          <w:sz w:val="24"/>
          <w:szCs w:val="24"/>
          <w:lang w:val="en-US"/>
        </w:rPr>
        <w:t xml:space="preserve"> Interest rate (%)</w:t>
      </w:r>
    </w:p>
    <w:p w14:paraId="4A8D5FB9" w14:textId="1F76476D" w:rsidR="000C44C6" w:rsidRPr="00C926EC" w:rsidRDefault="000C44C6" w:rsidP="00200A6C">
      <w:pPr>
        <w:spacing w:line="480" w:lineRule="auto"/>
        <w:jc w:val="both"/>
        <w:rPr>
          <w:rFonts w:ascii="Arial" w:eastAsiaTheme="minorEastAsia" w:hAnsi="Arial" w:cs="Arial"/>
          <w:sz w:val="24"/>
          <w:szCs w:val="24"/>
          <w:lang w:val="en-US"/>
        </w:rPr>
      </w:pPr>
      <w:proofErr w:type="spellStart"/>
      <w:r w:rsidRPr="00C926EC">
        <w:rPr>
          <w:rFonts w:ascii="Arial" w:eastAsiaTheme="minorEastAsia" w:hAnsi="Arial" w:cs="Arial"/>
          <w:sz w:val="24"/>
          <w:szCs w:val="24"/>
          <w:lang w:val="en-US"/>
        </w:rPr>
        <w:t>Q</w:t>
      </w:r>
      <w:r w:rsidRPr="00C926EC">
        <w:rPr>
          <w:rFonts w:ascii="Arial" w:eastAsiaTheme="minorEastAsia" w:hAnsi="Arial" w:cs="Arial"/>
          <w:sz w:val="24"/>
          <w:szCs w:val="24"/>
          <w:vertAlign w:val="subscript"/>
          <w:lang w:val="en-US"/>
        </w:rPr>
        <w:t>biomethane</w:t>
      </w:r>
      <w:proofErr w:type="spellEnd"/>
      <w:r w:rsidRPr="00C926EC">
        <w:rPr>
          <w:rFonts w:ascii="Arial" w:eastAsiaTheme="minorEastAsia" w:hAnsi="Arial" w:cs="Arial"/>
          <w:sz w:val="24"/>
          <w:szCs w:val="24"/>
          <w:lang w:val="en-US"/>
        </w:rPr>
        <w:t xml:space="preserve"> Biomethane flow (</w:t>
      </w:r>
      <w:r w:rsidR="00641CB8" w:rsidRPr="00C926EC">
        <w:rPr>
          <w:rFonts w:ascii="Arial" w:eastAsiaTheme="minorEastAsia" w:hAnsi="Arial" w:cs="Arial"/>
          <w:sz w:val="24"/>
          <w:szCs w:val="24"/>
          <w:lang w:val="en-US"/>
        </w:rPr>
        <w:t>m</w:t>
      </w:r>
      <w:r w:rsidR="00641CB8" w:rsidRPr="00C926EC">
        <w:rPr>
          <w:rFonts w:ascii="Arial" w:eastAsiaTheme="minorEastAsia" w:hAnsi="Arial" w:cs="Arial"/>
          <w:sz w:val="24"/>
          <w:szCs w:val="24"/>
          <w:vertAlign w:val="superscript"/>
          <w:lang w:val="en-US"/>
        </w:rPr>
        <w:t>3</w:t>
      </w:r>
      <w:r w:rsidR="00641CB8" w:rsidRPr="00C926EC">
        <w:rPr>
          <w:rFonts w:ascii="Arial" w:eastAsiaTheme="minorEastAsia" w:hAnsi="Arial" w:cs="Arial"/>
          <w:sz w:val="24"/>
          <w:szCs w:val="24"/>
          <w:lang w:val="en-US"/>
        </w:rPr>
        <w:t>/h)</w:t>
      </w:r>
    </w:p>
    <w:p w14:paraId="216C710B" w14:textId="7D6525A8" w:rsidR="000C44C6" w:rsidRPr="00C926EC" w:rsidRDefault="000C44C6" w:rsidP="00200A6C">
      <w:pPr>
        <w:spacing w:line="480" w:lineRule="auto"/>
        <w:jc w:val="both"/>
        <w:rPr>
          <w:rFonts w:ascii="Arial" w:eastAsiaTheme="minorEastAsia" w:hAnsi="Arial" w:cs="Arial"/>
          <w:sz w:val="24"/>
          <w:szCs w:val="24"/>
          <w:lang w:val="en-US"/>
        </w:rPr>
      </w:pPr>
      <w:proofErr w:type="spellStart"/>
      <w:r w:rsidRPr="00C926EC">
        <w:rPr>
          <w:rFonts w:ascii="Arial" w:eastAsiaTheme="minorEastAsia" w:hAnsi="Arial" w:cs="Arial"/>
          <w:sz w:val="24"/>
          <w:szCs w:val="24"/>
          <w:lang w:val="en-US"/>
        </w:rPr>
        <w:t>Q</w:t>
      </w:r>
      <w:r w:rsidRPr="00C926EC">
        <w:rPr>
          <w:rFonts w:ascii="Arial" w:eastAsiaTheme="minorEastAsia" w:hAnsi="Arial" w:cs="Arial"/>
          <w:sz w:val="24"/>
          <w:szCs w:val="24"/>
          <w:vertAlign w:val="subscript"/>
          <w:lang w:val="en-US"/>
        </w:rPr>
        <w:t>biogas</w:t>
      </w:r>
      <w:proofErr w:type="spellEnd"/>
      <w:r w:rsidRPr="00C926EC">
        <w:rPr>
          <w:rFonts w:ascii="Arial" w:eastAsiaTheme="minorEastAsia" w:hAnsi="Arial" w:cs="Arial"/>
          <w:sz w:val="24"/>
          <w:szCs w:val="24"/>
          <w:lang w:val="en-US"/>
        </w:rPr>
        <w:t xml:space="preserve"> Biogas flow </w:t>
      </w:r>
      <w:r w:rsidR="00641CB8" w:rsidRPr="00C926EC">
        <w:rPr>
          <w:rFonts w:ascii="Arial" w:eastAsiaTheme="minorEastAsia" w:hAnsi="Arial" w:cs="Arial"/>
          <w:sz w:val="24"/>
          <w:szCs w:val="24"/>
          <w:lang w:val="en-US"/>
        </w:rPr>
        <w:t>(m</w:t>
      </w:r>
      <w:r w:rsidR="00641CB8" w:rsidRPr="00C926EC">
        <w:rPr>
          <w:rFonts w:ascii="Arial" w:eastAsiaTheme="minorEastAsia" w:hAnsi="Arial" w:cs="Arial"/>
          <w:sz w:val="24"/>
          <w:szCs w:val="24"/>
          <w:vertAlign w:val="superscript"/>
          <w:lang w:val="en-US"/>
        </w:rPr>
        <w:t>3</w:t>
      </w:r>
      <w:r w:rsidR="00641CB8" w:rsidRPr="00C926EC">
        <w:rPr>
          <w:rFonts w:ascii="Arial" w:eastAsiaTheme="minorEastAsia" w:hAnsi="Arial" w:cs="Arial"/>
          <w:sz w:val="24"/>
          <w:szCs w:val="24"/>
          <w:lang w:val="en-US"/>
        </w:rPr>
        <w:t>/h)</w:t>
      </w:r>
    </w:p>
    <w:p w14:paraId="22EEAEAD" w14:textId="2C4F94AC" w:rsidR="0023008F" w:rsidRPr="00C926EC" w:rsidRDefault="00AA4E0F" w:rsidP="00200A6C">
      <w:pPr>
        <w:spacing w:line="480" w:lineRule="auto"/>
        <w:jc w:val="both"/>
        <w:rPr>
          <w:rFonts w:ascii="Arial" w:hAnsi="Arial" w:cs="Arial"/>
          <w:sz w:val="24"/>
          <w:szCs w:val="24"/>
          <w:lang w:val="en-US"/>
        </w:rPr>
      </w:pPr>
      <w:proofErr w:type="spellStart"/>
      <w:r w:rsidRPr="00C926EC">
        <w:rPr>
          <w:rFonts w:ascii="Arial" w:hAnsi="Arial" w:cs="Arial"/>
          <w:sz w:val="24"/>
          <w:szCs w:val="24"/>
          <w:lang w:val="en-US"/>
        </w:rPr>
        <w:t>p</w:t>
      </w:r>
      <w:r w:rsidRPr="00C926EC">
        <w:rPr>
          <w:rFonts w:ascii="Arial" w:hAnsi="Arial" w:cs="Arial"/>
          <w:sz w:val="24"/>
          <w:szCs w:val="24"/>
          <w:vertAlign w:val="subscript"/>
          <w:lang w:val="en-US"/>
        </w:rPr>
        <w:t>NG</w:t>
      </w:r>
      <w:proofErr w:type="spellEnd"/>
      <w:r w:rsidRPr="00C926EC">
        <w:rPr>
          <w:rFonts w:ascii="Arial" w:hAnsi="Arial" w:cs="Arial"/>
          <w:sz w:val="24"/>
          <w:szCs w:val="24"/>
          <w:lang w:val="en-US"/>
        </w:rPr>
        <w:t xml:space="preserve"> Price of natural gas (€/MWh)</w:t>
      </w:r>
    </w:p>
    <w:p w14:paraId="040760A8" w14:textId="4F9921A5" w:rsidR="00AA4E0F" w:rsidRPr="00C926EC" w:rsidRDefault="000129A0" w:rsidP="00200A6C">
      <w:pPr>
        <w:spacing w:line="480" w:lineRule="auto"/>
        <w:jc w:val="both"/>
        <w:rPr>
          <w:rFonts w:ascii="Arial" w:hAnsi="Arial" w:cs="Arial"/>
          <w:sz w:val="24"/>
          <w:szCs w:val="24"/>
          <w:lang w:val="en-US"/>
        </w:rPr>
      </w:pPr>
      <w:proofErr w:type="spellStart"/>
      <w:r w:rsidRPr="00C926EC">
        <w:rPr>
          <w:rFonts w:ascii="Arial" w:hAnsi="Arial" w:cs="Arial"/>
          <w:sz w:val="24"/>
          <w:szCs w:val="24"/>
          <w:lang w:val="en-US"/>
        </w:rPr>
        <w:t>C</w:t>
      </w:r>
      <w:r w:rsidR="00AA4E0F" w:rsidRPr="00C926EC">
        <w:rPr>
          <w:rFonts w:ascii="Arial" w:hAnsi="Arial" w:cs="Arial"/>
          <w:sz w:val="24"/>
          <w:szCs w:val="24"/>
          <w:vertAlign w:val="subscript"/>
          <w:lang w:val="en-US"/>
        </w:rPr>
        <w:t>invBU</w:t>
      </w:r>
      <w:proofErr w:type="spellEnd"/>
      <w:r w:rsidR="00AA4E0F" w:rsidRPr="00C926EC">
        <w:rPr>
          <w:rFonts w:ascii="Arial" w:hAnsi="Arial" w:cs="Arial"/>
          <w:sz w:val="24"/>
          <w:szCs w:val="24"/>
          <w:lang w:val="en-US"/>
        </w:rPr>
        <w:t xml:space="preserve"> </w:t>
      </w:r>
      <w:r w:rsidRPr="00C926EC">
        <w:rPr>
          <w:rFonts w:ascii="Arial" w:hAnsi="Arial" w:cs="Arial"/>
          <w:sz w:val="24"/>
          <w:szCs w:val="24"/>
          <w:lang w:val="en-US"/>
        </w:rPr>
        <w:t xml:space="preserve">Investment cost in BU section </w:t>
      </w:r>
      <w:r w:rsidR="00AA4E0F" w:rsidRPr="00C926EC">
        <w:rPr>
          <w:rFonts w:ascii="Arial" w:hAnsi="Arial" w:cs="Arial"/>
          <w:sz w:val="24"/>
          <w:szCs w:val="24"/>
          <w:lang w:val="en-US"/>
        </w:rPr>
        <w:t>(€/m</w:t>
      </w:r>
      <w:r w:rsidR="00AA4E0F" w:rsidRPr="00C926EC">
        <w:rPr>
          <w:rFonts w:ascii="Arial" w:hAnsi="Arial" w:cs="Arial"/>
          <w:sz w:val="24"/>
          <w:szCs w:val="24"/>
          <w:vertAlign w:val="superscript"/>
          <w:lang w:val="en-US"/>
        </w:rPr>
        <w:t>3</w:t>
      </w:r>
      <w:r w:rsidR="00AA4E0F" w:rsidRPr="00C926EC">
        <w:rPr>
          <w:rFonts w:ascii="Arial" w:hAnsi="Arial" w:cs="Arial"/>
          <w:sz w:val="24"/>
          <w:szCs w:val="24"/>
          <w:lang w:val="en-US"/>
        </w:rPr>
        <w:t>/h)</w:t>
      </w:r>
    </w:p>
    <w:p w14:paraId="5558FA95" w14:textId="1A4D577C" w:rsidR="000129A0" w:rsidRPr="00C926EC" w:rsidRDefault="000129A0" w:rsidP="00200A6C">
      <w:pPr>
        <w:spacing w:line="480" w:lineRule="auto"/>
        <w:jc w:val="both"/>
        <w:rPr>
          <w:rFonts w:ascii="Arial" w:hAnsi="Arial" w:cs="Arial"/>
          <w:sz w:val="24"/>
          <w:szCs w:val="24"/>
          <w:lang w:val="en-US"/>
        </w:rPr>
      </w:pPr>
      <w:proofErr w:type="spellStart"/>
      <w:r w:rsidRPr="00C926EC">
        <w:rPr>
          <w:rFonts w:ascii="Arial" w:hAnsi="Arial" w:cs="Arial"/>
          <w:sz w:val="24"/>
          <w:szCs w:val="24"/>
          <w:lang w:val="en-GB"/>
        </w:rPr>
        <w:t>C</w:t>
      </w:r>
      <w:r w:rsidRPr="00C926EC">
        <w:rPr>
          <w:rFonts w:ascii="Arial" w:hAnsi="Arial" w:cs="Arial"/>
          <w:sz w:val="24"/>
          <w:szCs w:val="24"/>
          <w:vertAlign w:val="subscript"/>
          <w:lang w:val="en-GB"/>
        </w:rPr>
        <w:t>ilBU</w:t>
      </w:r>
      <w:proofErr w:type="spellEnd"/>
      <w:r w:rsidRPr="00C926EC">
        <w:rPr>
          <w:rFonts w:ascii="Arial" w:hAnsi="Arial" w:cs="Arial"/>
          <w:sz w:val="24"/>
          <w:szCs w:val="24"/>
          <w:lang w:val="en-GB"/>
        </w:rPr>
        <w:t xml:space="preserve"> Interest of loan cost (€)</w:t>
      </w:r>
    </w:p>
    <w:p w14:paraId="6354850E" w14:textId="6A2EEEFF" w:rsidR="00AA4E0F" w:rsidRPr="00C926EC" w:rsidRDefault="000129A0" w:rsidP="00200A6C">
      <w:pPr>
        <w:spacing w:line="480" w:lineRule="auto"/>
        <w:jc w:val="both"/>
        <w:rPr>
          <w:rFonts w:ascii="Arial" w:hAnsi="Arial" w:cs="Arial"/>
          <w:sz w:val="24"/>
          <w:szCs w:val="24"/>
          <w:lang w:val="en-US"/>
        </w:rPr>
      </w:pPr>
      <w:proofErr w:type="spellStart"/>
      <w:r w:rsidRPr="00C926EC">
        <w:rPr>
          <w:rFonts w:ascii="Arial" w:hAnsi="Arial" w:cs="Arial"/>
          <w:sz w:val="24"/>
          <w:szCs w:val="24"/>
          <w:lang w:val="en-US"/>
        </w:rPr>
        <w:t>C</w:t>
      </w:r>
      <w:r w:rsidR="00AA4E0F" w:rsidRPr="00C926EC">
        <w:rPr>
          <w:rFonts w:ascii="Arial" w:hAnsi="Arial" w:cs="Arial"/>
          <w:sz w:val="24"/>
          <w:szCs w:val="24"/>
          <w:vertAlign w:val="subscript"/>
          <w:lang w:val="en-US"/>
        </w:rPr>
        <w:t>invDB</w:t>
      </w:r>
      <w:proofErr w:type="spellEnd"/>
      <w:r w:rsidR="00AA4E0F" w:rsidRPr="00C926EC">
        <w:rPr>
          <w:rFonts w:ascii="Arial" w:hAnsi="Arial" w:cs="Arial"/>
          <w:sz w:val="24"/>
          <w:szCs w:val="24"/>
          <w:lang w:val="en-US"/>
        </w:rPr>
        <w:t xml:space="preserve"> </w:t>
      </w:r>
      <w:r w:rsidRPr="00C926EC">
        <w:rPr>
          <w:rFonts w:ascii="Arial" w:hAnsi="Arial" w:cs="Arial"/>
          <w:sz w:val="24"/>
          <w:szCs w:val="24"/>
          <w:lang w:val="en-US"/>
        </w:rPr>
        <w:t xml:space="preserve">Investment cost in DB section </w:t>
      </w:r>
      <w:r w:rsidR="00AA4E0F" w:rsidRPr="00C926EC">
        <w:rPr>
          <w:rFonts w:ascii="Arial" w:hAnsi="Arial" w:cs="Arial"/>
          <w:sz w:val="24"/>
          <w:szCs w:val="24"/>
          <w:lang w:val="en-US"/>
        </w:rPr>
        <w:t>(€/km)</w:t>
      </w:r>
    </w:p>
    <w:p w14:paraId="69501BA3" w14:textId="77777777" w:rsidR="00AA4E0F" w:rsidRPr="00C926EC" w:rsidRDefault="00AA4E0F" w:rsidP="00AA4E0F">
      <w:pPr>
        <w:spacing w:line="480" w:lineRule="auto"/>
        <w:jc w:val="both"/>
        <w:rPr>
          <w:rFonts w:ascii="Arial" w:hAnsi="Arial" w:cs="Arial"/>
          <w:sz w:val="24"/>
          <w:szCs w:val="24"/>
          <w:lang w:val="en-US"/>
        </w:rPr>
      </w:pPr>
      <w:proofErr w:type="spellStart"/>
      <w:r w:rsidRPr="00C926EC">
        <w:rPr>
          <w:rFonts w:ascii="Arial" w:hAnsi="Arial" w:cs="Arial"/>
          <w:sz w:val="24"/>
          <w:szCs w:val="24"/>
          <w:lang w:val="en-US"/>
        </w:rPr>
        <w:t>C</w:t>
      </w:r>
      <w:r w:rsidRPr="00C926EC">
        <w:rPr>
          <w:rFonts w:ascii="Arial" w:hAnsi="Arial" w:cs="Arial"/>
          <w:sz w:val="24"/>
          <w:szCs w:val="24"/>
          <w:vertAlign w:val="subscript"/>
          <w:lang w:val="en-US"/>
        </w:rPr>
        <w:t>loanBU</w:t>
      </w:r>
      <w:proofErr w:type="spellEnd"/>
      <w:r w:rsidRPr="00C926EC">
        <w:rPr>
          <w:rFonts w:ascii="Arial" w:hAnsi="Arial" w:cs="Arial"/>
          <w:sz w:val="24"/>
          <w:szCs w:val="24"/>
          <w:lang w:val="en-US"/>
        </w:rPr>
        <w:t xml:space="preserve"> Cost of the loan in the biogas upgrading section (€)</w:t>
      </w:r>
    </w:p>
    <w:p w14:paraId="3B1B52A4" w14:textId="3A7BF738" w:rsidR="00AA4E0F" w:rsidRPr="00C926EC" w:rsidRDefault="00AA4E0F" w:rsidP="00200A6C">
      <w:pPr>
        <w:spacing w:line="480" w:lineRule="auto"/>
        <w:jc w:val="both"/>
        <w:rPr>
          <w:rFonts w:ascii="Arial" w:hAnsi="Arial" w:cs="Arial"/>
          <w:sz w:val="24"/>
          <w:szCs w:val="24"/>
          <w:lang w:val="en-US"/>
        </w:rPr>
      </w:pPr>
      <w:proofErr w:type="spellStart"/>
      <w:r w:rsidRPr="00C926EC">
        <w:rPr>
          <w:rFonts w:ascii="Arial" w:hAnsi="Arial" w:cs="Arial"/>
          <w:sz w:val="24"/>
          <w:szCs w:val="24"/>
          <w:lang w:val="en-US"/>
        </w:rPr>
        <w:t>n</w:t>
      </w:r>
      <w:r w:rsidRPr="00C926EC">
        <w:rPr>
          <w:rFonts w:ascii="Arial" w:hAnsi="Arial" w:cs="Arial"/>
          <w:sz w:val="24"/>
          <w:szCs w:val="24"/>
          <w:vertAlign w:val="subscript"/>
          <w:lang w:val="en-US"/>
        </w:rPr>
        <w:t>l</w:t>
      </w:r>
      <w:proofErr w:type="spellEnd"/>
      <w:r w:rsidRPr="00C926EC">
        <w:rPr>
          <w:rFonts w:ascii="Arial" w:hAnsi="Arial" w:cs="Arial"/>
          <w:sz w:val="24"/>
          <w:szCs w:val="24"/>
          <w:lang w:val="en-US"/>
        </w:rPr>
        <w:t xml:space="preserve"> </w:t>
      </w:r>
      <w:r w:rsidR="00641CB8" w:rsidRPr="00C926EC">
        <w:rPr>
          <w:rFonts w:ascii="Arial" w:hAnsi="Arial" w:cs="Arial"/>
          <w:sz w:val="24"/>
          <w:szCs w:val="24"/>
          <w:lang w:val="en-US"/>
        </w:rPr>
        <w:t>P</w:t>
      </w:r>
      <w:r w:rsidRPr="00C926EC">
        <w:rPr>
          <w:rFonts w:ascii="Arial" w:hAnsi="Arial" w:cs="Arial"/>
          <w:sz w:val="24"/>
          <w:szCs w:val="24"/>
          <w:lang w:val="en-US"/>
        </w:rPr>
        <w:t>ayback of the loan (years)</w:t>
      </w:r>
    </w:p>
    <w:p w14:paraId="3E43DE1D" w14:textId="355D0BB8" w:rsidR="000129A0" w:rsidRPr="00C926EC" w:rsidRDefault="000129A0" w:rsidP="00200A6C">
      <w:pPr>
        <w:spacing w:line="480" w:lineRule="auto"/>
        <w:jc w:val="both"/>
        <w:rPr>
          <w:rFonts w:ascii="Arial" w:hAnsi="Arial" w:cs="Arial"/>
          <w:sz w:val="24"/>
          <w:szCs w:val="24"/>
          <w:lang w:val="en-GB"/>
        </w:rPr>
      </w:pPr>
      <w:r w:rsidRPr="00C926EC">
        <w:rPr>
          <w:rFonts w:ascii="Arial" w:hAnsi="Arial" w:cs="Arial"/>
          <w:sz w:val="24"/>
          <w:szCs w:val="24"/>
          <w:lang w:val="en-GB"/>
        </w:rPr>
        <w:t>M&amp;O Maintenance and Overhead</w:t>
      </w:r>
    </w:p>
    <w:p w14:paraId="4D975C3F" w14:textId="21E761EF" w:rsidR="000129A0" w:rsidRPr="00C926EC" w:rsidRDefault="000129A0" w:rsidP="00200A6C">
      <w:pPr>
        <w:spacing w:line="480" w:lineRule="auto"/>
        <w:jc w:val="both"/>
        <w:rPr>
          <w:rFonts w:ascii="Arial" w:hAnsi="Arial" w:cs="Arial"/>
          <w:sz w:val="24"/>
          <w:szCs w:val="24"/>
          <w:lang w:val="en-GB"/>
        </w:rPr>
      </w:pPr>
      <w:proofErr w:type="spellStart"/>
      <w:r w:rsidRPr="00C926EC">
        <w:rPr>
          <w:rFonts w:ascii="Arial" w:hAnsi="Arial" w:cs="Arial"/>
          <w:sz w:val="24"/>
          <w:szCs w:val="24"/>
          <w:lang w:val="en-GB"/>
        </w:rPr>
        <w:lastRenderedPageBreak/>
        <w:t>C</w:t>
      </w:r>
      <w:r w:rsidRPr="00C926EC">
        <w:rPr>
          <w:rFonts w:ascii="Arial" w:hAnsi="Arial" w:cs="Arial"/>
          <w:sz w:val="24"/>
          <w:szCs w:val="24"/>
          <w:vertAlign w:val="subscript"/>
          <w:lang w:val="en-GB"/>
        </w:rPr>
        <w:t>moBU</w:t>
      </w:r>
      <w:proofErr w:type="spellEnd"/>
      <w:r w:rsidRPr="00C926EC">
        <w:rPr>
          <w:rFonts w:ascii="Arial" w:hAnsi="Arial" w:cs="Arial"/>
          <w:sz w:val="24"/>
          <w:szCs w:val="24"/>
          <w:vertAlign w:val="subscript"/>
          <w:lang w:val="en-GB"/>
        </w:rPr>
        <w:t xml:space="preserve"> </w:t>
      </w:r>
      <w:r w:rsidRPr="00C926EC">
        <w:rPr>
          <w:rFonts w:ascii="Arial" w:hAnsi="Arial" w:cs="Arial"/>
          <w:sz w:val="24"/>
          <w:szCs w:val="24"/>
          <w:lang w:val="en-GB"/>
        </w:rPr>
        <w:t>Cost of M&amp;O (€)</w:t>
      </w:r>
    </w:p>
    <w:p w14:paraId="2DD8F28D" w14:textId="6DD0DD89" w:rsidR="000129A0" w:rsidRPr="00C926EC" w:rsidRDefault="000129A0" w:rsidP="00200A6C">
      <w:pPr>
        <w:spacing w:line="480" w:lineRule="auto"/>
        <w:jc w:val="both"/>
        <w:rPr>
          <w:rFonts w:ascii="Arial" w:hAnsi="Arial" w:cs="Arial"/>
          <w:sz w:val="24"/>
          <w:szCs w:val="24"/>
          <w:lang w:val="en-GB"/>
        </w:rPr>
      </w:pPr>
      <w:proofErr w:type="spellStart"/>
      <w:r w:rsidRPr="00C926EC">
        <w:rPr>
          <w:rFonts w:ascii="Arial" w:hAnsi="Arial" w:cs="Arial"/>
          <w:sz w:val="24"/>
          <w:szCs w:val="24"/>
          <w:lang w:val="en-GB"/>
        </w:rPr>
        <w:t>C</w:t>
      </w:r>
      <w:r w:rsidRPr="00C926EC">
        <w:rPr>
          <w:rFonts w:ascii="Arial" w:hAnsi="Arial" w:cs="Arial"/>
          <w:sz w:val="24"/>
          <w:szCs w:val="24"/>
          <w:vertAlign w:val="subscript"/>
          <w:lang w:val="en-GB"/>
        </w:rPr>
        <w:t>dfBU</w:t>
      </w:r>
      <w:proofErr w:type="spellEnd"/>
      <w:r w:rsidRPr="00C926EC">
        <w:rPr>
          <w:rFonts w:ascii="Arial" w:hAnsi="Arial" w:cs="Arial"/>
          <w:sz w:val="24"/>
          <w:szCs w:val="24"/>
          <w:vertAlign w:val="subscript"/>
          <w:lang w:val="en-GB"/>
        </w:rPr>
        <w:t xml:space="preserve"> </w:t>
      </w:r>
      <w:r w:rsidRPr="00C926EC">
        <w:rPr>
          <w:rFonts w:ascii="Arial" w:hAnsi="Arial" w:cs="Arial"/>
          <w:sz w:val="24"/>
          <w:szCs w:val="24"/>
          <w:lang w:val="en-GB"/>
        </w:rPr>
        <w:t>Depreciation cost in BU section (€)</w:t>
      </w:r>
    </w:p>
    <w:p w14:paraId="3FF913A5" w14:textId="435B1085" w:rsidR="000129A0" w:rsidRPr="00C926EC" w:rsidRDefault="000129A0" w:rsidP="00200A6C">
      <w:pPr>
        <w:spacing w:line="480" w:lineRule="auto"/>
        <w:jc w:val="both"/>
        <w:rPr>
          <w:rFonts w:ascii="Arial" w:hAnsi="Arial" w:cs="Arial"/>
          <w:sz w:val="24"/>
          <w:szCs w:val="24"/>
          <w:lang w:val="en-GB"/>
        </w:rPr>
      </w:pPr>
      <w:proofErr w:type="spellStart"/>
      <w:r w:rsidRPr="00C926EC">
        <w:rPr>
          <w:rFonts w:ascii="Arial" w:hAnsi="Arial" w:cs="Arial"/>
          <w:sz w:val="24"/>
          <w:szCs w:val="24"/>
          <w:lang w:val="en-GB"/>
        </w:rPr>
        <w:t>C</w:t>
      </w:r>
      <w:r w:rsidRPr="00C926EC">
        <w:rPr>
          <w:rFonts w:ascii="Arial" w:hAnsi="Arial" w:cs="Arial"/>
          <w:sz w:val="24"/>
          <w:szCs w:val="24"/>
          <w:vertAlign w:val="subscript"/>
          <w:lang w:val="en-GB"/>
        </w:rPr>
        <w:t>insBU</w:t>
      </w:r>
      <w:proofErr w:type="spellEnd"/>
      <w:r w:rsidRPr="00C926EC">
        <w:rPr>
          <w:rFonts w:ascii="Arial" w:hAnsi="Arial" w:cs="Arial"/>
          <w:sz w:val="24"/>
          <w:szCs w:val="24"/>
          <w:vertAlign w:val="subscript"/>
          <w:lang w:val="en-GB"/>
        </w:rPr>
        <w:t xml:space="preserve"> </w:t>
      </w:r>
      <w:r w:rsidRPr="00C926EC">
        <w:rPr>
          <w:rFonts w:ascii="Arial" w:hAnsi="Arial" w:cs="Arial"/>
          <w:sz w:val="24"/>
          <w:szCs w:val="24"/>
          <w:lang w:val="en-GB"/>
        </w:rPr>
        <w:t>Insurance cost in BU section (€)</w:t>
      </w:r>
    </w:p>
    <w:p w14:paraId="4E4BB953" w14:textId="66E762CD" w:rsidR="000129A0" w:rsidRPr="00C926EC" w:rsidRDefault="000129A0" w:rsidP="00200A6C">
      <w:pPr>
        <w:spacing w:line="480" w:lineRule="auto"/>
        <w:jc w:val="both"/>
        <w:rPr>
          <w:rFonts w:ascii="Arial" w:hAnsi="Arial" w:cs="Arial"/>
          <w:sz w:val="24"/>
          <w:szCs w:val="24"/>
          <w:lang w:val="en-GB"/>
        </w:rPr>
      </w:pPr>
      <w:proofErr w:type="spellStart"/>
      <w:r w:rsidRPr="00C926EC">
        <w:rPr>
          <w:rFonts w:ascii="Arial" w:hAnsi="Arial" w:cs="Arial"/>
          <w:sz w:val="24"/>
          <w:szCs w:val="24"/>
          <w:lang w:val="en-GB"/>
        </w:rPr>
        <w:t>C</w:t>
      </w:r>
      <w:r w:rsidRPr="00C926EC">
        <w:rPr>
          <w:rFonts w:ascii="Arial" w:hAnsi="Arial" w:cs="Arial"/>
          <w:sz w:val="24"/>
          <w:szCs w:val="24"/>
          <w:vertAlign w:val="subscript"/>
          <w:lang w:val="en-GB"/>
        </w:rPr>
        <w:t>instBU</w:t>
      </w:r>
      <w:proofErr w:type="spellEnd"/>
      <w:r w:rsidRPr="00C926EC">
        <w:rPr>
          <w:rFonts w:ascii="Arial" w:hAnsi="Arial" w:cs="Arial"/>
          <w:sz w:val="24"/>
          <w:szCs w:val="24"/>
          <w:vertAlign w:val="subscript"/>
          <w:lang w:val="en-GB"/>
        </w:rPr>
        <w:t xml:space="preserve"> </w:t>
      </w:r>
      <w:r w:rsidRPr="00C926EC">
        <w:rPr>
          <w:rFonts w:ascii="Arial" w:hAnsi="Arial" w:cs="Arial"/>
          <w:sz w:val="24"/>
          <w:szCs w:val="24"/>
          <w:lang w:val="en-GB"/>
        </w:rPr>
        <w:t>Installation cost in BU section (€)</w:t>
      </w:r>
    </w:p>
    <w:p w14:paraId="6CDA3BAD" w14:textId="3C63F9D7" w:rsidR="00AA4E0F" w:rsidRPr="00C926EC" w:rsidRDefault="00AA4E0F" w:rsidP="00200A6C">
      <w:pPr>
        <w:spacing w:line="480" w:lineRule="auto"/>
        <w:jc w:val="both"/>
        <w:rPr>
          <w:rFonts w:ascii="Arial" w:hAnsi="Arial" w:cs="Arial"/>
          <w:sz w:val="24"/>
          <w:szCs w:val="24"/>
          <w:lang w:val="en-GB"/>
        </w:rPr>
      </w:pPr>
      <w:proofErr w:type="spellStart"/>
      <w:r w:rsidRPr="00C926EC">
        <w:rPr>
          <w:rFonts w:ascii="Arial" w:hAnsi="Arial" w:cs="Arial"/>
          <w:sz w:val="24"/>
          <w:szCs w:val="24"/>
          <w:lang w:val="en-GB"/>
        </w:rPr>
        <w:t>p</w:t>
      </w:r>
      <w:r w:rsidRPr="00C926EC">
        <w:rPr>
          <w:rFonts w:ascii="Arial" w:hAnsi="Arial" w:cs="Arial"/>
          <w:sz w:val="24"/>
          <w:szCs w:val="24"/>
          <w:vertAlign w:val="subscript"/>
          <w:lang w:val="en-GB"/>
        </w:rPr>
        <w:t>mo</w:t>
      </w:r>
      <w:proofErr w:type="spellEnd"/>
      <w:r w:rsidRPr="00C926EC">
        <w:rPr>
          <w:rFonts w:ascii="Arial" w:hAnsi="Arial" w:cs="Arial"/>
          <w:sz w:val="24"/>
          <w:szCs w:val="24"/>
          <w:lang w:val="en-GB"/>
        </w:rPr>
        <w:t xml:space="preserve"> </w:t>
      </w:r>
      <w:r w:rsidR="000129A0" w:rsidRPr="00C926EC">
        <w:rPr>
          <w:rFonts w:ascii="Arial" w:hAnsi="Arial" w:cs="Arial"/>
          <w:sz w:val="24"/>
          <w:szCs w:val="24"/>
          <w:lang w:val="en-US"/>
        </w:rPr>
        <w:t xml:space="preserve">Maintenance &amp; Overhead </w:t>
      </w:r>
      <w:r w:rsidR="00641CB8" w:rsidRPr="00C926EC">
        <w:rPr>
          <w:rFonts w:ascii="Arial" w:hAnsi="Arial" w:cs="Arial"/>
          <w:sz w:val="24"/>
          <w:szCs w:val="24"/>
          <w:lang w:val="en-US"/>
        </w:rPr>
        <w:t>p</w:t>
      </w:r>
      <w:r w:rsidR="000129A0" w:rsidRPr="00C926EC">
        <w:rPr>
          <w:rFonts w:ascii="Arial" w:hAnsi="Arial" w:cs="Arial"/>
          <w:sz w:val="24"/>
          <w:szCs w:val="24"/>
          <w:lang w:val="en-US"/>
        </w:rPr>
        <w:t>ercentage</w:t>
      </w:r>
      <w:r w:rsidR="000129A0" w:rsidRPr="00C926EC">
        <w:rPr>
          <w:rFonts w:ascii="Arial" w:hAnsi="Arial" w:cs="Arial"/>
          <w:sz w:val="24"/>
          <w:szCs w:val="24"/>
          <w:lang w:val="en-GB"/>
        </w:rPr>
        <w:t xml:space="preserve"> </w:t>
      </w:r>
      <w:r w:rsidRPr="00C926EC">
        <w:rPr>
          <w:rFonts w:ascii="Arial" w:hAnsi="Arial" w:cs="Arial"/>
          <w:sz w:val="24"/>
          <w:szCs w:val="24"/>
          <w:lang w:val="en-GB"/>
        </w:rPr>
        <w:t>(%)</w:t>
      </w:r>
    </w:p>
    <w:p w14:paraId="6D4300E5" w14:textId="51DA04C0" w:rsidR="00AA4E0F" w:rsidRPr="00C926EC" w:rsidRDefault="00AA4E0F" w:rsidP="00200A6C">
      <w:pPr>
        <w:spacing w:line="480" w:lineRule="auto"/>
        <w:jc w:val="both"/>
        <w:rPr>
          <w:rFonts w:ascii="Arial" w:hAnsi="Arial" w:cs="Arial"/>
          <w:sz w:val="24"/>
          <w:szCs w:val="24"/>
          <w:lang w:val="en-GB"/>
        </w:rPr>
      </w:pPr>
      <w:r w:rsidRPr="00C926EC">
        <w:rPr>
          <w:rFonts w:ascii="Arial" w:hAnsi="Arial" w:cs="Arial"/>
          <w:sz w:val="24"/>
          <w:szCs w:val="24"/>
          <w:lang w:val="en-GB"/>
        </w:rPr>
        <w:t>p</w:t>
      </w:r>
      <w:r w:rsidRPr="00C926EC">
        <w:rPr>
          <w:rFonts w:ascii="Arial" w:hAnsi="Arial" w:cs="Arial"/>
          <w:sz w:val="24"/>
          <w:szCs w:val="24"/>
          <w:vertAlign w:val="subscript"/>
          <w:lang w:val="en-GB"/>
        </w:rPr>
        <w:t>df</w:t>
      </w:r>
      <w:r w:rsidRPr="00C926EC">
        <w:rPr>
          <w:rFonts w:ascii="Arial" w:hAnsi="Arial" w:cs="Arial"/>
          <w:sz w:val="24"/>
          <w:szCs w:val="24"/>
          <w:lang w:val="en-GB"/>
        </w:rPr>
        <w:t xml:space="preserve"> </w:t>
      </w:r>
      <w:r w:rsidR="000129A0" w:rsidRPr="00C926EC">
        <w:rPr>
          <w:rFonts w:ascii="Arial" w:hAnsi="Arial" w:cs="Arial"/>
          <w:sz w:val="24"/>
          <w:szCs w:val="24"/>
          <w:lang w:val="en-GB"/>
        </w:rPr>
        <w:t xml:space="preserve">Depreciation percentage </w:t>
      </w:r>
      <w:r w:rsidRPr="00C926EC">
        <w:rPr>
          <w:rFonts w:ascii="Arial" w:hAnsi="Arial" w:cs="Arial"/>
          <w:sz w:val="24"/>
          <w:szCs w:val="24"/>
          <w:lang w:val="en-GB"/>
        </w:rPr>
        <w:t>(%)</w:t>
      </w:r>
    </w:p>
    <w:p w14:paraId="75953D40" w14:textId="7DB0397E" w:rsidR="00AA4E0F" w:rsidRPr="00C926EC" w:rsidRDefault="00AA4E0F" w:rsidP="00200A6C">
      <w:pPr>
        <w:spacing w:line="480" w:lineRule="auto"/>
        <w:jc w:val="both"/>
        <w:rPr>
          <w:rFonts w:ascii="Arial" w:hAnsi="Arial" w:cs="Arial"/>
          <w:sz w:val="24"/>
          <w:szCs w:val="24"/>
          <w:lang w:val="en-GB"/>
        </w:rPr>
      </w:pPr>
      <w:r w:rsidRPr="00C926EC">
        <w:rPr>
          <w:rFonts w:ascii="Arial" w:hAnsi="Arial" w:cs="Arial"/>
          <w:sz w:val="24"/>
          <w:szCs w:val="24"/>
          <w:lang w:val="en-GB"/>
        </w:rPr>
        <w:t>p</w:t>
      </w:r>
      <w:r w:rsidRPr="00C926EC">
        <w:rPr>
          <w:rFonts w:ascii="Arial" w:hAnsi="Arial" w:cs="Arial"/>
          <w:sz w:val="24"/>
          <w:szCs w:val="24"/>
          <w:vertAlign w:val="subscript"/>
          <w:lang w:val="en-GB"/>
        </w:rPr>
        <w:t>ins</w:t>
      </w:r>
      <w:r w:rsidRPr="00C926EC">
        <w:rPr>
          <w:rFonts w:ascii="Arial" w:hAnsi="Arial" w:cs="Arial"/>
          <w:sz w:val="24"/>
          <w:szCs w:val="24"/>
          <w:lang w:val="en-GB"/>
        </w:rPr>
        <w:t xml:space="preserve"> </w:t>
      </w:r>
      <w:r w:rsidR="000129A0" w:rsidRPr="00C926EC">
        <w:rPr>
          <w:rFonts w:ascii="Arial" w:hAnsi="Arial" w:cs="Arial"/>
          <w:sz w:val="24"/>
          <w:szCs w:val="24"/>
          <w:lang w:val="en-GB"/>
        </w:rPr>
        <w:t xml:space="preserve">Insurance percentage </w:t>
      </w:r>
      <w:r w:rsidRPr="00C926EC">
        <w:rPr>
          <w:rFonts w:ascii="Arial" w:hAnsi="Arial" w:cs="Arial"/>
          <w:sz w:val="24"/>
          <w:szCs w:val="24"/>
          <w:lang w:val="en-GB"/>
        </w:rPr>
        <w:t>(%)</w:t>
      </w:r>
    </w:p>
    <w:p w14:paraId="0CD0F683" w14:textId="4D6B45F3" w:rsidR="00AA4E0F" w:rsidRPr="00C926EC" w:rsidRDefault="000C44C6" w:rsidP="00200A6C">
      <w:pPr>
        <w:spacing w:line="480" w:lineRule="auto"/>
        <w:jc w:val="both"/>
        <w:rPr>
          <w:rFonts w:ascii="Arial" w:hAnsi="Arial" w:cs="Arial"/>
          <w:sz w:val="24"/>
          <w:szCs w:val="24"/>
          <w:lang w:val="en-US"/>
        </w:rPr>
      </w:pPr>
      <w:proofErr w:type="spellStart"/>
      <w:r w:rsidRPr="00C926EC">
        <w:rPr>
          <w:rFonts w:ascii="Arial" w:hAnsi="Arial" w:cs="Arial"/>
          <w:sz w:val="24"/>
          <w:szCs w:val="24"/>
          <w:lang w:val="en-US"/>
        </w:rPr>
        <w:t>C</w:t>
      </w:r>
      <w:r w:rsidR="00AA4E0F" w:rsidRPr="00C926EC">
        <w:rPr>
          <w:rFonts w:ascii="Arial" w:hAnsi="Arial" w:cs="Arial"/>
          <w:sz w:val="24"/>
          <w:szCs w:val="24"/>
          <w:vertAlign w:val="subscript"/>
          <w:lang w:val="en-US"/>
        </w:rPr>
        <w:t>ueBU</w:t>
      </w:r>
      <w:proofErr w:type="spellEnd"/>
      <w:r w:rsidR="00AA4E0F" w:rsidRPr="00C926EC">
        <w:rPr>
          <w:rFonts w:ascii="Arial" w:hAnsi="Arial" w:cs="Arial"/>
          <w:sz w:val="24"/>
          <w:szCs w:val="24"/>
          <w:lang w:val="en-US"/>
        </w:rPr>
        <w:t xml:space="preserve"> </w:t>
      </w:r>
      <w:r w:rsidR="000129A0" w:rsidRPr="00C926EC">
        <w:rPr>
          <w:rFonts w:ascii="Arial" w:hAnsi="Arial" w:cs="Arial"/>
          <w:sz w:val="24"/>
          <w:szCs w:val="24"/>
          <w:lang w:val="en-US"/>
        </w:rPr>
        <w:t xml:space="preserve">Electricity consumption for biogas upgrading </w:t>
      </w:r>
      <w:r w:rsidR="00AA4E0F" w:rsidRPr="00C926EC">
        <w:rPr>
          <w:rFonts w:ascii="Arial" w:hAnsi="Arial" w:cs="Arial"/>
          <w:sz w:val="24"/>
          <w:szCs w:val="24"/>
          <w:lang w:val="en-US"/>
        </w:rPr>
        <w:t>(kWh/m</w:t>
      </w:r>
      <w:r w:rsidR="00AA4E0F" w:rsidRPr="00C926EC">
        <w:rPr>
          <w:rFonts w:ascii="Arial" w:hAnsi="Arial" w:cs="Arial"/>
          <w:sz w:val="24"/>
          <w:szCs w:val="24"/>
          <w:vertAlign w:val="superscript"/>
          <w:lang w:val="en-US"/>
        </w:rPr>
        <w:t>3</w:t>
      </w:r>
      <w:r w:rsidR="00AA4E0F" w:rsidRPr="00C926EC">
        <w:rPr>
          <w:rFonts w:ascii="Arial" w:hAnsi="Arial" w:cs="Arial"/>
          <w:sz w:val="24"/>
          <w:szCs w:val="24"/>
          <w:lang w:val="en-US"/>
        </w:rPr>
        <w:t xml:space="preserve"> biogas)</w:t>
      </w:r>
    </w:p>
    <w:p w14:paraId="1CBE5D6D" w14:textId="2E1E1C67" w:rsidR="000129A0" w:rsidRPr="00C926EC" w:rsidRDefault="000129A0" w:rsidP="00200A6C">
      <w:pPr>
        <w:spacing w:line="480" w:lineRule="auto"/>
        <w:jc w:val="both"/>
        <w:rPr>
          <w:rFonts w:ascii="Arial" w:hAnsi="Arial" w:cs="Arial"/>
          <w:sz w:val="24"/>
          <w:szCs w:val="24"/>
          <w:lang w:val="en-GB"/>
        </w:rPr>
      </w:pPr>
      <w:proofErr w:type="spellStart"/>
      <w:r w:rsidRPr="00C926EC">
        <w:rPr>
          <w:rFonts w:ascii="Arial" w:hAnsi="Arial" w:cs="Arial"/>
          <w:sz w:val="24"/>
          <w:szCs w:val="24"/>
          <w:lang w:val="en-GB"/>
        </w:rPr>
        <w:t>C</w:t>
      </w:r>
      <w:r w:rsidRPr="00C926EC">
        <w:rPr>
          <w:rFonts w:ascii="Arial" w:hAnsi="Arial" w:cs="Arial"/>
          <w:sz w:val="24"/>
          <w:szCs w:val="24"/>
          <w:vertAlign w:val="subscript"/>
          <w:lang w:val="en-GB"/>
        </w:rPr>
        <w:t>loanDB</w:t>
      </w:r>
      <w:proofErr w:type="spellEnd"/>
      <w:r w:rsidRPr="00C926EC">
        <w:rPr>
          <w:rFonts w:ascii="Arial" w:hAnsi="Arial" w:cs="Arial"/>
          <w:sz w:val="24"/>
          <w:szCs w:val="24"/>
          <w:vertAlign w:val="subscript"/>
          <w:lang w:val="en-GB"/>
        </w:rPr>
        <w:t xml:space="preserve"> </w:t>
      </w:r>
      <w:r w:rsidRPr="00C926EC">
        <w:rPr>
          <w:rFonts w:ascii="Arial" w:hAnsi="Arial" w:cs="Arial"/>
          <w:sz w:val="24"/>
          <w:szCs w:val="24"/>
          <w:lang w:val="en-GB"/>
        </w:rPr>
        <w:t>Cost of loan in DB section (€)</w:t>
      </w:r>
    </w:p>
    <w:p w14:paraId="07C98043" w14:textId="3624F2E9" w:rsidR="000129A0" w:rsidRPr="00C926EC" w:rsidRDefault="000129A0" w:rsidP="00200A6C">
      <w:pPr>
        <w:spacing w:line="480" w:lineRule="auto"/>
        <w:jc w:val="both"/>
        <w:rPr>
          <w:rFonts w:ascii="Arial" w:hAnsi="Arial" w:cs="Arial"/>
          <w:sz w:val="24"/>
          <w:szCs w:val="24"/>
          <w:lang w:val="en-GB"/>
        </w:rPr>
      </w:pPr>
      <w:proofErr w:type="spellStart"/>
      <w:r w:rsidRPr="00C926EC">
        <w:rPr>
          <w:rFonts w:ascii="Arial" w:hAnsi="Arial" w:cs="Arial"/>
          <w:sz w:val="24"/>
          <w:szCs w:val="24"/>
          <w:lang w:val="en-GB"/>
        </w:rPr>
        <w:t>C</w:t>
      </w:r>
      <w:r w:rsidRPr="00C926EC">
        <w:rPr>
          <w:rFonts w:ascii="Arial" w:hAnsi="Arial" w:cs="Arial"/>
          <w:sz w:val="24"/>
          <w:szCs w:val="24"/>
          <w:vertAlign w:val="subscript"/>
          <w:lang w:val="en-GB"/>
        </w:rPr>
        <w:t>ilDB</w:t>
      </w:r>
      <w:proofErr w:type="spellEnd"/>
      <w:r w:rsidRPr="00C926EC">
        <w:rPr>
          <w:rFonts w:ascii="Arial" w:hAnsi="Arial" w:cs="Arial"/>
          <w:sz w:val="24"/>
          <w:szCs w:val="24"/>
          <w:vertAlign w:val="subscript"/>
          <w:lang w:val="en-GB"/>
        </w:rPr>
        <w:t xml:space="preserve"> </w:t>
      </w:r>
      <w:r w:rsidRPr="00C926EC">
        <w:rPr>
          <w:rFonts w:ascii="Arial" w:hAnsi="Arial" w:cs="Arial"/>
          <w:sz w:val="24"/>
          <w:szCs w:val="24"/>
          <w:lang w:val="en-GB"/>
        </w:rPr>
        <w:t>Cost of interest of loan in DB section (€)</w:t>
      </w:r>
    </w:p>
    <w:p w14:paraId="519A0FCD" w14:textId="30D23A69" w:rsidR="000129A0" w:rsidRPr="00C926EC" w:rsidRDefault="000129A0" w:rsidP="00200A6C">
      <w:pPr>
        <w:spacing w:line="480" w:lineRule="auto"/>
        <w:jc w:val="both"/>
        <w:rPr>
          <w:rFonts w:ascii="Arial" w:hAnsi="Arial" w:cs="Arial"/>
          <w:sz w:val="24"/>
          <w:szCs w:val="24"/>
          <w:lang w:val="en-GB"/>
        </w:rPr>
      </w:pPr>
      <w:proofErr w:type="spellStart"/>
      <w:r w:rsidRPr="00C926EC">
        <w:rPr>
          <w:rFonts w:ascii="Arial" w:hAnsi="Arial" w:cs="Arial"/>
          <w:sz w:val="24"/>
          <w:szCs w:val="24"/>
          <w:lang w:val="en-GB"/>
        </w:rPr>
        <w:t>C</w:t>
      </w:r>
      <w:r w:rsidRPr="00C926EC">
        <w:rPr>
          <w:rFonts w:ascii="Arial" w:hAnsi="Arial" w:cs="Arial"/>
          <w:sz w:val="24"/>
          <w:szCs w:val="24"/>
          <w:vertAlign w:val="subscript"/>
          <w:lang w:val="en-GB"/>
        </w:rPr>
        <w:t>moDB</w:t>
      </w:r>
      <w:proofErr w:type="spellEnd"/>
      <w:r w:rsidRPr="00C926EC">
        <w:rPr>
          <w:rFonts w:ascii="Arial" w:hAnsi="Arial" w:cs="Arial"/>
          <w:sz w:val="24"/>
          <w:szCs w:val="24"/>
          <w:vertAlign w:val="subscript"/>
          <w:lang w:val="en-GB"/>
        </w:rPr>
        <w:t xml:space="preserve"> </w:t>
      </w:r>
      <w:r w:rsidRPr="00C926EC">
        <w:rPr>
          <w:rFonts w:ascii="Arial" w:hAnsi="Arial" w:cs="Arial"/>
          <w:sz w:val="24"/>
          <w:szCs w:val="24"/>
          <w:lang w:val="en-GB"/>
        </w:rPr>
        <w:t xml:space="preserve">Cost of </w:t>
      </w:r>
      <w:r w:rsidR="000C44C6" w:rsidRPr="00C926EC">
        <w:rPr>
          <w:rFonts w:ascii="Arial" w:hAnsi="Arial" w:cs="Arial"/>
          <w:sz w:val="24"/>
          <w:szCs w:val="24"/>
          <w:lang w:val="en-GB"/>
        </w:rPr>
        <w:t>Maintenance &amp; Overhead in DB section (€)</w:t>
      </w:r>
    </w:p>
    <w:p w14:paraId="3E2CB9AF" w14:textId="030CE4E3" w:rsidR="000129A0" w:rsidRPr="00C926EC" w:rsidRDefault="000129A0" w:rsidP="00200A6C">
      <w:pPr>
        <w:spacing w:line="480" w:lineRule="auto"/>
        <w:jc w:val="both"/>
        <w:rPr>
          <w:rFonts w:ascii="Arial" w:hAnsi="Arial" w:cs="Arial"/>
          <w:sz w:val="24"/>
          <w:szCs w:val="24"/>
          <w:lang w:val="en-US"/>
        </w:rPr>
      </w:pPr>
      <w:proofErr w:type="spellStart"/>
      <w:r w:rsidRPr="00C926EC">
        <w:rPr>
          <w:rFonts w:ascii="Arial" w:hAnsi="Arial" w:cs="Arial"/>
          <w:sz w:val="24"/>
          <w:szCs w:val="24"/>
          <w:lang w:val="en-GB"/>
        </w:rPr>
        <w:t>C</w:t>
      </w:r>
      <w:r w:rsidRPr="00C926EC">
        <w:rPr>
          <w:rFonts w:ascii="Arial" w:hAnsi="Arial" w:cs="Arial"/>
          <w:sz w:val="24"/>
          <w:szCs w:val="24"/>
          <w:vertAlign w:val="subscript"/>
          <w:lang w:val="en-GB"/>
        </w:rPr>
        <w:t>instDB</w:t>
      </w:r>
      <w:proofErr w:type="spellEnd"/>
      <w:r w:rsidR="000C44C6" w:rsidRPr="00C926EC">
        <w:rPr>
          <w:rFonts w:ascii="Arial" w:hAnsi="Arial" w:cs="Arial"/>
          <w:sz w:val="24"/>
          <w:szCs w:val="24"/>
          <w:vertAlign w:val="subscript"/>
          <w:lang w:val="en-GB"/>
        </w:rPr>
        <w:t xml:space="preserve"> </w:t>
      </w:r>
      <w:r w:rsidR="000C44C6" w:rsidRPr="00C926EC">
        <w:rPr>
          <w:rFonts w:ascii="Arial" w:hAnsi="Arial" w:cs="Arial"/>
          <w:sz w:val="24"/>
          <w:szCs w:val="24"/>
          <w:lang w:val="en-GB"/>
        </w:rPr>
        <w:t>Cost of installation in DB section (€)</w:t>
      </w:r>
    </w:p>
    <w:p w14:paraId="1B2171DE" w14:textId="53A98FBE" w:rsidR="00AA4E0F" w:rsidRPr="00C926EC" w:rsidRDefault="00AA4E0F" w:rsidP="00200A6C">
      <w:pPr>
        <w:spacing w:line="480" w:lineRule="auto"/>
        <w:jc w:val="both"/>
        <w:rPr>
          <w:rFonts w:ascii="Arial" w:hAnsi="Arial" w:cs="Arial"/>
          <w:sz w:val="24"/>
          <w:szCs w:val="24"/>
          <w:lang w:val="en-US"/>
        </w:rPr>
      </w:pPr>
      <w:r w:rsidRPr="00C926EC">
        <w:rPr>
          <w:rFonts w:ascii="Arial" w:hAnsi="Arial" w:cs="Arial"/>
          <w:sz w:val="24"/>
          <w:szCs w:val="24"/>
          <w:lang w:val="en-US"/>
        </w:rPr>
        <w:t>p</w:t>
      </w:r>
      <w:r w:rsidRPr="00C926EC">
        <w:rPr>
          <w:rFonts w:ascii="Arial" w:hAnsi="Arial" w:cs="Arial"/>
          <w:sz w:val="24"/>
          <w:szCs w:val="24"/>
          <w:vertAlign w:val="subscript"/>
          <w:lang w:val="en-US"/>
        </w:rPr>
        <w:t>e</w:t>
      </w:r>
      <w:r w:rsidRPr="00C926EC">
        <w:rPr>
          <w:rFonts w:ascii="Arial" w:hAnsi="Arial" w:cs="Arial"/>
          <w:sz w:val="24"/>
          <w:szCs w:val="24"/>
          <w:lang w:val="en-US"/>
        </w:rPr>
        <w:t xml:space="preserve"> </w:t>
      </w:r>
      <w:r w:rsidR="000C44C6" w:rsidRPr="00C926EC">
        <w:rPr>
          <w:rFonts w:ascii="Arial" w:hAnsi="Arial" w:cs="Arial"/>
          <w:sz w:val="24"/>
          <w:szCs w:val="24"/>
          <w:lang w:val="en-US"/>
        </w:rPr>
        <w:t xml:space="preserve">Electricity price </w:t>
      </w:r>
      <w:r w:rsidRPr="00C926EC">
        <w:rPr>
          <w:rFonts w:ascii="Arial" w:hAnsi="Arial" w:cs="Arial"/>
          <w:sz w:val="24"/>
          <w:szCs w:val="24"/>
          <w:lang w:val="en-US"/>
        </w:rPr>
        <w:t>(€/kWh)</w:t>
      </w:r>
    </w:p>
    <w:p w14:paraId="4E00DB0F" w14:textId="19FF16E0" w:rsidR="000129A0" w:rsidRPr="00C926EC" w:rsidRDefault="000129A0" w:rsidP="00200A6C">
      <w:pPr>
        <w:spacing w:line="480" w:lineRule="auto"/>
        <w:jc w:val="both"/>
        <w:rPr>
          <w:rFonts w:ascii="Arial" w:hAnsi="Arial" w:cs="Arial"/>
          <w:sz w:val="24"/>
          <w:szCs w:val="24"/>
          <w:lang w:val="en-US"/>
        </w:rPr>
      </w:pPr>
      <w:proofErr w:type="spellStart"/>
      <w:r w:rsidRPr="00C926EC">
        <w:rPr>
          <w:rFonts w:ascii="Arial" w:hAnsi="Arial" w:cs="Arial"/>
          <w:sz w:val="24"/>
          <w:szCs w:val="24"/>
          <w:lang w:val="en-US"/>
        </w:rPr>
        <w:t>C</w:t>
      </w:r>
      <w:r w:rsidRPr="00C926EC">
        <w:rPr>
          <w:rFonts w:ascii="Arial" w:hAnsi="Arial" w:cs="Arial"/>
          <w:sz w:val="24"/>
          <w:szCs w:val="24"/>
          <w:vertAlign w:val="subscript"/>
          <w:lang w:val="en-US"/>
        </w:rPr>
        <w:t>lab</w:t>
      </w:r>
      <w:proofErr w:type="spellEnd"/>
      <w:r w:rsidRPr="00C926EC">
        <w:rPr>
          <w:rFonts w:ascii="Arial" w:hAnsi="Arial" w:cs="Arial"/>
          <w:sz w:val="24"/>
          <w:szCs w:val="24"/>
          <w:lang w:val="en-US"/>
        </w:rPr>
        <w:t xml:space="preserve"> </w:t>
      </w:r>
      <w:proofErr w:type="spellStart"/>
      <w:r w:rsidRPr="00C926EC">
        <w:rPr>
          <w:rFonts w:ascii="Arial" w:hAnsi="Arial" w:cs="Arial"/>
          <w:sz w:val="24"/>
          <w:szCs w:val="24"/>
          <w:lang w:val="en-US"/>
        </w:rPr>
        <w:t>Labour</w:t>
      </w:r>
      <w:proofErr w:type="spellEnd"/>
      <w:r w:rsidRPr="00C926EC">
        <w:rPr>
          <w:rFonts w:ascii="Arial" w:hAnsi="Arial" w:cs="Arial"/>
          <w:sz w:val="24"/>
          <w:szCs w:val="24"/>
          <w:lang w:val="en-US"/>
        </w:rPr>
        <w:t xml:space="preserve"> costs</w:t>
      </w:r>
      <w:r w:rsidR="000C44C6" w:rsidRPr="00C926EC">
        <w:rPr>
          <w:rFonts w:ascii="Arial" w:hAnsi="Arial" w:cs="Arial"/>
          <w:sz w:val="24"/>
          <w:szCs w:val="24"/>
          <w:lang w:val="en-US"/>
        </w:rPr>
        <w:t xml:space="preserve"> (€)</w:t>
      </w:r>
    </w:p>
    <w:p w14:paraId="0BEB7827" w14:textId="352EB369" w:rsidR="00AA4E0F" w:rsidRPr="00C926EC" w:rsidRDefault="000C44C6" w:rsidP="00200A6C">
      <w:pPr>
        <w:spacing w:line="480" w:lineRule="auto"/>
        <w:jc w:val="both"/>
        <w:rPr>
          <w:rFonts w:ascii="Arial" w:hAnsi="Arial" w:cs="Arial"/>
          <w:sz w:val="24"/>
          <w:szCs w:val="24"/>
          <w:lang w:val="en-US"/>
        </w:rPr>
      </w:pPr>
      <w:proofErr w:type="spellStart"/>
      <w:r w:rsidRPr="00C926EC">
        <w:rPr>
          <w:rFonts w:ascii="Arial" w:hAnsi="Arial" w:cs="Arial"/>
          <w:sz w:val="24"/>
          <w:szCs w:val="24"/>
          <w:lang w:val="en-US"/>
        </w:rPr>
        <w:t>C</w:t>
      </w:r>
      <w:r w:rsidR="00AA4E0F" w:rsidRPr="00C926EC">
        <w:rPr>
          <w:rFonts w:ascii="Arial" w:hAnsi="Arial" w:cs="Arial"/>
          <w:sz w:val="24"/>
          <w:szCs w:val="24"/>
          <w:vertAlign w:val="subscript"/>
          <w:lang w:val="en-US"/>
        </w:rPr>
        <w:t>labu</w:t>
      </w:r>
      <w:proofErr w:type="spellEnd"/>
      <w:r w:rsidR="00AA4E0F" w:rsidRPr="00C926EC">
        <w:rPr>
          <w:rFonts w:ascii="Arial" w:hAnsi="Arial" w:cs="Arial"/>
          <w:sz w:val="24"/>
          <w:szCs w:val="24"/>
          <w:lang w:val="en-US"/>
        </w:rPr>
        <w:t xml:space="preserve"> </w:t>
      </w:r>
      <w:r w:rsidRPr="00C926EC">
        <w:rPr>
          <w:rFonts w:ascii="Arial" w:hAnsi="Arial" w:cs="Arial"/>
          <w:sz w:val="24"/>
          <w:szCs w:val="24"/>
          <w:lang w:val="en-US"/>
        </w:rPr>
        <w:t xml:space="preserve">Unitary </w:t>
      </w:r>
      <w:proofErr w:type="spellStart"/>
      <w:r w:rsidRPr="00C926EC">
        <w:rPr>
          <w:rFonts w:ascii="Arial" w:hAnsi="Arial" w:cs="Arial"/>
          <w:sz w:val="24"/>
          <w:szCs w:val="24"/>
          <w:lang w:val="en-US"/>
        </w:rPr>
        <w:t>labour</w:t>
      </w:r>
      <w:proofErr w:type="spellEnd"/>
      <w:r w:rsidRPr="00C926EC">
        <w:rPr>
          <w:rFonts w:ascii="Arial" w:hAnsi="Arial" w:cs="Arial"/>
          <w:sz w:val="24"/>
          <w:szCs w:val="24"/>
          <w:lang w:val="en-US"/>
        </w:rPr>
        <w:t xml:space="preserve"> cost </w:t>
      </w:r>
      <w:r w:rsidR="00AA4E0F" w:rsidRPr="00C926EC">
        <w:rPr>
          <w:rFonts w:ascii="Arial" w:hAnsi="Arial" w:cs="Arial"/>
          <w:sz w:val="24"/>
          <w:szCs w:val="24"/>
          <w:lang w:val="en-US"/>
        </w:rPr>
        <w:t>(€/y/worker)</w:t>
      </w:r>
    </w:p>
    <w:p w14:paraId="531D6E1E" w14:textId="50254312" w:rsidR="00AA4E0F" w:rsidRPr="00C926EC" w:rsidRDefault="00AA4E0F" w:rsidP="00200A6C">
      <w:pPr>
        <w:spacing w:line="480" w:lineRule="auto"/>
        <w:jc w:val="both"/>
        <w:rPr>
          <w:rFonts w:ascii="Arial" w:hAnsi="Arial" w:cs="Arial"/>
          <w:sz w:val="24"/>
          <w:szCs w:val="24"/>
          <w:lang w:val="en-US"/>
        </w:rPr>
      </w:pPr>
      <w:proofErr w:type="spellStart"/>
      <w:r w:rsidRPr="00C926EC">
        <w:rPr>
          <w:rFonts w:ascii="Arial" w:hAnsi="Arial" w:cs="Arial"/>
          <w:sz w:val="24"/>
          <w:szCs w:val="24"/>
          <w:lang w:val="en-US"/>
        </w:rPr>
        <w:t>n</w:t>
      </w:r>
      <w:r w:rsidRPr="00C926EC">
        <w:rPr>
          <w:rFonts w:ascii="Arial" w:hAnsi="Arial" w:cs="Arial"/>
          <w:sz w:val="24"/>
          <w:szCs w:val="24"/>
          <w:vertAlign w:val="subscript"/>
          <w:lang w:val="en-US"/>
        </w:rPr>
        <w:t>op</w:t>
      </w:r>
      <w:proofErr w:type="spellEnd"/>
      <w:r w:rsidRPr="00C926EC">
        <w:rPr>
          <w:rFonts w:ascii="Arial" w:hAnsi="Arial" w:cs="Arial"/>
          <w:sz w:val="24"/>
          <w:szCs w:val="24"/>
          <w:lang w:val="en-US"/>
        </w:rPr>
        <w:t xml:space="preserve"> </w:t>
      </w:r>
      <w:r w:rsidR="000C44C6" w:rsidRPr="00C926EC">
        <w:rPr>
          <w:rFonts w:ascii="Arial" w:hAnsi="Arial" w:cs="Arial"/>
          <w:sz w:val="24"/>
          <w:szCs w:val="24"/>
          <w:lang w:val="en-US"/>
        </w:rPr>
        <w:t xml:space="preserve">Number of workers </w:t>
      </w:r>
      <w:r w:rsidRPr="00C926EC">
        <w:rPr>
          <w:rFonts w:ascii="Arial" w:hAnsi="Arial" w:cs="Arial"/>
          <w:sz w:val="24"/>
          <w:szCs w:val="24"/>
          <w:lang w:val="en-US"/>
        </w:rPr>
        <w:t>(worker)</w:t>
      </w:r>
    </w:p>
    <w:p w14:paraId="18324E99" w14:textId="7837DB1A" w:rsidR="00AA4E0F" w:rsidRPr="00C926EC" w:rsidRDefault="00AA4E0F" w:rsidP="00200A6C">
      <w:pPr>
        <w:spacing w:line="480" w:lineRule="auto"/>
        <w:jc w:val="both"/>
        <w:rPr>
          <w:rFonts w:ascii="Arial" w:hAnsi="Arial" w:cs="Arial"/>
          <w:sz w:val="24"/>
          <w:szCs w:val="24"/>
          <w:lang w:val="en-US"/>
        </w:rPr>
      </w:pPr>
      <w:proofErr w:type="spellStart"/>
      <w:r w:rsidRPr="00C926EC">
        <w:rPr>
          <w:rFonts w:ascii="Arial" w:hAnsi="Arial" w:cs="Arial"/>
          <w:sz w:val="24"/>
          <w:szCs w:val="24"/>
          <w:lang w:val="en-US"/>
        </w:rPr>
        <w:t>n</w:t>
      </w:r>
      <w:r w:rsidRPr="00C926EC">
        <w:rPr>
          <w:rFonts w:ascii="Arial" w:hAnsi="Arial" w:cs="Arial"/>
          <w:sz w:val="24"/>
          <w:szCs w:val="24"/>
          <w:vertAlign w:val="subscript"/>
          <w:lang w:val="en-US"/>
        </w:rPr>
        <w:t>wh</w:t>
      </w:r>
      <w:proofErr w:type="spellEnd"/>
      <w:r w:rsidRPr="00C926EC">
        <w:rPr>
          <w:rFonts w:ascii="Arial" w:hAnsi="Arial" w:cs="Arial"/>
          <w:sz w:val="24"/>
          <w:szCs w:val="24"/>
          <w:lang w:val="en-US"/>
        </w:rPr>
        <w:t xml:space="preserve"> </w:t>
      </w:r>
      <w:r w:rsidR="000C44C6" w:rsidRPr="00C926EC">
        <w:rPr>
          <w:rFonts w:ascii="Arial" w:hAnsi="Arial" w:cs="Arial"/>
          <w:sz w:val="24"/>
          <w:szCs w:val="24"/>
          <w:lang w:val="en-US"/>
        </w:rPr>
        <w:t xml:space="preserve">Working hours </w:t>
      </w:r>
      <w:r w:rsidRPr="00C926EC">
        <w:rPr>
          <w:rFonts w:ascii="Arial" w:hAnsi="Arial" w:cs="Arial"/>
          <w:sz w:val="24"/>
          <w:szCs w:val="24"/>
          <w:lang w:val="en-US"/>
        </w:rPr>
        <w:t>(h/y)</w:t>
      </w:r>
    </w:p>
    <w:p w14:paraId="6F1AA255" w14:textId="44871F78" w:rsidR="00AA4E0F" w:rsidRPr="00C926EC" w:rsidRDefault="00AA4E0F" w:rsidP="00200A6C">
      <w:pPr>
        <w:spacing w:line="480" w:lineRule="auto"/>
        <w:jc w:val="both"/>
        <w:rPr>
          <w:rFonts w:ascii="Arial" w:hAnsi="Arial" w:cs="Arial"/>
          <w:sz w:val="24"/>
          <w:szCs w:val="24"/>
          <w:lang w:val="en-US"/>
        </w:rPr>
      </w:pPr>
      <w:r w:rsidRPr="00C926EC">
        <w:rPr>
          <w:rFonts w:ascii="Arial" w:hAnsi="Arial" w:cs="Arial"/>
          <w:sz w:val="24"/>
          <w:szCs w:val="24"/>
          <w:lang w:val="en-US"/>
        </w:rPr>
        <w:t xml:space="preserve">RTFO Renewable Transport Fuel Obligation </w:t>
      </w:r>
    </w:p>
    <w:p w14:paraId="37B6B19B" w14:textId="77777777" w:rsidR="00A65325" w:rsidRPr="00C926EC" w:rsidRDefault="00A65325" w:rsidP="00200A6C">
      <w:pPr>
        <w:spacing w:line="480" w:lineRule="auto"/>
        <w:jc w:val="both"/>
        <w:rPr>
          <w:rFonts w:ascii="Arial" w:hAnsi="Arial" w:cs="Arial"/>
          <w:bCs/>
          <w:sz w:val="24"/>
          <w:szCs w:val="24"/>
          <w:lang w:val="en-US"/>
        </w:rPr>
      </w:pPr>
    </w:p>
    <w:p w14:paraId="22D934AA" w14:textId="01797F9B" w:rsidR="00C53BD7" w:rsidRPr="00C926EC" w:rsidRDefault="00836465" w:rsidP="00200A6C">
      <w:pPr>
        <w:spacing w:line="480" w:lineRule="auto"/>
        <w:jc w:val="both"/>
        <w:rPr>
          <w:rFonts w:ascii="Arial" w:hAnsi="Arial" w:cs="Arial"/>
          <w:sz w:val="24"/>
          <w:szCs w:val="24"/>
          <w:lang w:val="en-US"/>
        </w:rPr>
      </w:pPr>
      <w:r w:rsidRPr="00C926EC">
        <w:rPr>
          <w:rFonts w:ascii="Arial" w:hAnsi="Arial" w:cs="Arial"/>
          <w:b/>
          <w:sz w:val="24"/>
          <w:szCs w:val="24"/>
          <w:lang w:val="en-US"/>
        </w:rPr>
        <w:lastRenderedPageBreak/>
        <w:t>Keywords</w:t>
      </w:r>
      <w:r w:rsidR="00404CCA" w:rsidRPr="00C926EC">
        <w:rPr>
          <w:rFonts w:ascii="Arial" w:hAnsi="Arial" w:cs="Arial"/>
          <w:b/>
          <w:sz w:val="24"/>
          <w:szCs w:val="24"/>
          <w:lang w:val="en-US"/>
        </w:rPr>
        <w:t>:</w:t>
      </w:r>
      <w:r w:rsidR="00404CCA" w:rsidRPr="00C926EC">
        <w:rPr>
          <w:rFonts w:ascii="Arial" w:hAnsi="Arial" w:cs="Arial"/>
          <w:sz w:val="24"/>
          <w:szCs w:val="24"/>
          <w:lang w:val="en-US"/>
        </w:rPr>
        <w:t xml:space="preserve"> </w:t>
      </w:r>
      <w:r w:rsidR="00463EE1" w:rsidRPr="00C926EC">
        <w:rPr>
          <w:rFonts w:ascii="Arial" w:hAnsi="Arial" w:cs="Arial"/>
          <w:sz w:val="24"/>
          <w:szCs w:val="24"/>
          <w:lang w:val="en-US"/>
        </w:rPr>
        <w:t xml:space="preserve">Biomethane production; </w:t>
      </w:r>
      <w:r w:rsidR="00866CC4" w:rsidRPr="00C926EC">
        <w:rPr>
          <w:rFonts w:ascii="Arial" w:hAnsi="Arial" w:cs="Arial"/>
          <w:sz w:val="24"/>
          <w:szCs w:val="24"/>
          <w:lang w:val="en-US"/>
        </w:rPr>
        <w:t xml:space="preserve">Biogas upgrading; </w:t>
      </w:r>
      <w:r w:rsidR="00490AA4" w:rsidRPr="00C926EC">
        <w:rPr>
          <w:rFonts w:ascii="Arial" w:hAnsi="Arial" w:cs="Arial"/>
          <w:sz w:val="24"/>
          <w:szCs w:val="24"/>
          <w:lang w:val="en-US"/>
        </w:rPr>
        <w:t>CO</w:t>
      </w:r>
      <w:r w:rsidR="00490AA4" w:rsidRPr="00C926EC">
        <w:rPr>
          <w:rFonts w:ascii="Arial" w:hAnsi="Arial" w:cs="Arial"/>
          <w:sz w:val="24"/>
          <w:szCs w:val="24"/>
          <w:vertAlign w:val="subscript"/>
          <w:lang w:val="en-US"/>
        </w:rPr>
        <w:t>2</w:t>
      </w:r>
      <w:r w:rsidR="00490AA4" w:rsidRPr="00C926EC">
        <w:rPr>
          <w:rFonts w:ascii="Arial" w:hAnsi="Arial" w:cs="Arial"/>
          <w:sz w:val="24"/>
          <w:szCs w:val="24"/>
          <w:lang w:val="en-US"/>
        </w:rPr>
        <w:t xml:space="preserve"> utili</w:t>
      </w:r>
      <w:r w:rsidR="00DF2B1B" w:rsidRPr="00C926EC">
        <w:rPr>
          <w:rFonts w:ascii="Arial" w:hAnsi="Arial" w:cs="Arial"/>
          <w:sz w:val="24"/>
          <w:szCs w:val="24"/>
          <w:lang w:val="en-US"/>
        </w:rPr>
        <w:t>z</w:t>
      </w:r>
      <w:r w:rsidR="00490AA4" w:rsidRPr="00C926EC">
        <w:rPr>
          <w:rFonts w:ascii="Arial" w:hAnsi="Arial" w:cs="Arial"/>
          <w:sz w:val="24"/>
          <w:szCs w:val="24"/>
          <w:lang w:val="en-US"/>
        </w:rPr>
        <w:t>ation</w:t>
      </w:r>
      <w:r w:rsidR="00463EE1" w:rsidRPr="00C926EC">
        <w:rPr>
          <w:rFonts w:ascii="Arial" w:hAnsi="Arial" w:cs="Arial"/>
          <w:sz w:val="24"/>
          <w:szCs w:val="24"/>
          <w:lang w:val="en-US"/>
        </w:rPr>
        <w:t xml:space="preserve">; </w:t>
      </w:r>
      <w:r w:rsidR="00490AA4" w:rsidRPr="00C926EC">
        <w:rPr>
          <w:rFonts w:ascii="Arial" w:hAnsi="Arial" w:cs="Arial"/>
          <w:sz w:val="24"/>
          <w:szCs w:val="24"/>
          <w:lang w:val="en-US"/>
        </w:rPr>
        <w:t xml:space="preserve">Green energy production; </w:t>
      </w:r>
      <w:r w:rsidR="00866CC4" w:rsidRPr="00C926EC">
        <w:rPr>
          <w:rFonts w:ascii="Arial" w:hAnsi="Arial" w:cs="Arial"/>
          <w:sz w:val="24"/>
          <w:szCs w:val="24"/>
          <w:lang w:val="en-US"/>
        </w:rPr>
        <w:t>Waste valorization;</w:t>
      </w:r>
      <w:r w:rsidR="00FD751A" w:rsidRPr="00C926EC">
        <w:rPr>
          <w:rFonts w:ascii="Arial" w:hAnsi="Arial" w:cs="Arial"/>
          <w:sz w:val="24"/>
          <w:szCs w:val="24"/>
          <w:lang w:val="en-US"/>
        </w:rPr>
        <w:t xml:space="preserve"> </w:t>
      </w:r>
      <w:r w:rsidR="00151E44" w:rsidRPr="00C926EC">
        <w:rPr>
          <w:rFonts w:ascii="Arial" w:hAnsi="Arial" w:cs="Arial"/>
          <w:sz w:val="24"/>
          <w:szCs w:val="24"/>
          <w:lang w:val="en-US"/>
        </w:rPr>
        <w:t xml:space="preserve">Renewable </w:t>
      </w:r>
      <w:proofErr w:type="gramStart"/>
      <w:r w:rsidR="00151E44" w:rsidRPr="00C926EC">
        <w:rPr>
          <w:rFonts w:ascii="Arial" w:hAnsi="Arial" w:cs="Arial"/>
          <w:sz w:val="24"/>
          <w:szCs w:val="24"/>
          <w:lang w:val="en-US"/>
        </w:rPr>
        <w:t>fuels;</w:t>
      </w:r>
      <w:proofErr w:type="gramEnd"/>
    </w:p>
    <w:p w14:paraId="2D210E50" w14:textId="77777777" w:rsidR="00F9170B" w:rsidRPr="00C926EC" w:rsidRDefault="00F9170B" w:rsidP="00200A6C">
      <w:pPr>
        <w:spacing w:line="480" w:lineRule="auto"/>
        <w:jc w:val="both"/>
        <w:rPr>
          <w:rFonts w:ascii="Arial" w:hAnsi="Arial" w:cs="Arial"/>
          <w:sz w:val="24"/>
          <w:szCs w:val="24"/>
          <w:lang w:val="en-US"/>
        </w:rPr>
      </w:pPr>
    </w:p>
    <w:p w14:paraId="7B6D26B7" w14:textId="4396D421" w:rsidR="00043FCE" w:rsidRPr="00C926EC" w:rsidRDefault="00981EC6" w:rsidP="005F3BB0">
      <w:pPr>
        <w:pStyle w:val="ListParagraph"/>
        <w:numPr>
          <w:ilvl w:val="0"/>
          <w:numId w:val="1"/>
        </w:numPr>
        <w:spacing w:line="480" w:lineRule="auto"/>
        <w:ind w:left="360"/>
        <w:jc w:val="both"/>
        <w:rPr>
          <w:rFonts w:ascii="Arial" w:hAnsi="Arial" w:cs="Arial"/>
          <w:b/>
          <w:sz w:val="24"/>
          <w:szCs w:val="24"/>
        </w:rPr>
      </w:pPr>
      <w:r w:rsidRPr="00C926EC">
        <w:rPr>
          <w:rFonts w:ascii="Arial" w:hAnsi="Arial" w:cs="Arial"/>
          <w:b/>
          <w:sz w:val="24"/>
          <w:szCs w:val="24"/>
          <w:lang w:val="en-US"/>
        </w:rPr>
        <w:t>Introduction</w:t>
      </w:r>
    </w:p>
    <w:p w14:paraId="04C302EC" w14:textId="03AB67C2" w:rsidR="006F3583" w:rsidRPr="00C926EC" w:rsidRDefault="006F3583" w:rsidP="006F3583">
      <w:pPr>
        <w:spacing w:line="480" w:lineRule="auto"/>
        <w:jc w:val="both"/>
        <w:rPr>
          <w:rFonts w:ascii="Arial" w:hAnsi="Arial" w:cs="Arial"/>
          <w:sz w:val="24"/>
          <w:szCs w:val="24"/>
          <w:lang w:val="en-US"/>
        </w:rPr>
      </w:pPr>
      <w:r w:rsidRPr="00C926EC">
        <w:rPr>
          <w:rFonts w:ascii="Arial" w:hAnsi="Arial" w:cs="Arial"/>
          <w:sz w:val="24"/>
          <w:szCs w:val="24"/>
          <w:lang w:val="en-US"/>
        </w:rPr>
        <w:t xml:space="preserve">Scarcity of fossil fuels and increasing greenhouse gases (GHG) emissions have caused an intensive search for renewable sources of energy </w:t>
      </w:r>
      <w:r w:rsidRPr="00C926EC">
        <w:rPr>
          <w:rFonts w:ascii="Arial" w:hAnsi="Arial" w:cs="Arial"/>
          <w:sz w:val="24"/>
          <w:szCs w:val="24"/>
          <w:lang w:val="en-US"/>
        </w:rPr>
        <w:fldChar w:fldCharType="begin" w:fldLock="1"/>
      </w:r>
      <w:r w:rsidRPr="00C926EC">
        <w:rPr>
          <w:rFonts w:ascii="Arial" w:hAnsi="Arial" w:cs="Arial"/>
          <w:sz w:val="24"/>
          <w:szCs w:val="24"/>
          <w:lang w:val="en-US"/>
        </w:rPr>
        <w:instrText>ADDIN CSL_CITATION {"citationItems":[{"id":"ITEM-1","itemData":{"DOI":"10.1016/j.wasman.2020.05.033","ISSN":"18792456","PMID":"32546447","abstract":"Municipal solid waste generation is becoming a prominent issue in the environmental arena. The aim of this paper is to investigate the relationship among municipal waste generation, greenhouse gas emissions, and GDP in Switzerland over the period 1990–2017. We apply both time series procedures (stationarity and causality tests) and a Machine Learning approach. Empirical findings underline a bidirectional causal relationship between municipal solid waste generation and GDP, indicating that the Environmental Kuznets Curve hypothesis holds for Switzerland. Moreover, we found that waste recovery (recycling and composting) is a key driver in mitigating greenhouse gas emissions. In fact, in the Tree Model, the probability that a change in the waste recovery variable could lead to a reduction in the greenhouse gas emissions registered a value of 87%.","author":[{"dropping-particle":"","family":"Magazzino","given":"Cosimo","non-dropping-particle":"","parse-names":false,"suffix":""},{"dropping-particle":"","family":"Mele","given":"Marco","non-dropping-particle":"","parse-names":false,"suffix":""},{"dropping-particle":"","family":"Schneider","given":"Nicolas","non-dropping-particle":"","parse-names":false,"suffix":""}],"container-title":"Waste Management","id":"ITEM-1","issued":{"date-parts":[["2020"]]},"title":"The relationship between municipal solid waste and greenhouse gas emissions: Evidence from Switzerland","type":"article-journal"},"uris":["http://www.mendeley.com/documents/?uuid=6cbb6118-0b51-44c3-90be-df77929f72f5","http://www.mendeley.com/documents/?uuid=464f0546-b0ee-4aff-b7ab-87fbfe1e4a96"]},{"id":"ITEM-2","itemData":{"DOI":"10.1016/j.wasman.2019.04.054","ISSN":"18792456","PMID":"31203941","abstract":"A life cycle thinking approach focusing on energy and greenhouse gas savings has been applied to study the potential for energy recovery and organic matter reclamation from Waste Activated Sludge produced in Waste Water Treatment Plants by means of a catalytic thermo-chemical process. A generic Basic Sludge Processing line has been modelled following common waste water and sludge treatment stages found in several European plants. This has served to identify and divide generic sludge treatment units in order to compare the performance of different industrial configurations where a specific thermo-chemical technology treatment unit and related cogeneration was substituted or added to reference units. The considered technology is an enhanced intermediate pyrolysis screw reactor combined with a reforming process known as Thermo-Catalytic Reforming allowing for conversion of sewage sludge into energy carriers and reclamation of organic substances in the form of charcoal (biochar). In order to study the greenhouse gas savings, a calculator tool complying with Directive 2009/28/EC has been adopted. Results show that substantial benefits in terms of energy production and greenhouse gas emissions reduction of a sludge-to-energy system are expected if the secondary sludge is directly treated with the Thermo-Catalytic Reforming process, without an intermediate anaerobic digestion step.","author":[{"dropping-particle":"","family":"Marazza","given":"Diego","non-dropping-particle":"","parse-names":false,"suffix":""},{"dropping-particle":"","family":"Macrelli","given":"Stefano","non-dropping-particle":"","parse-names":false,"suffix":""},{"dropping-particle":"","family":"D'Angeli","given":"Mirta","non-dropping-particle":"","parse-names":false,"suffix":""},{"dropping-particle":"","family":"Righi","given":"Serena","non-dropping-particle":"","parse-names":false,"suffix":""},{"dropping-particle":"","family":"Hornung","given":"Andreas","non-dropping-particle":"","parse-names":false,"suffix":""},{"dropping-particle":"","family":"Contin","given":"Andrea","non-dropping-particle":"","parse-names":false,"suffix":""}],"container-title":"Waste Management","id":"ITEM-2","issued":{"date-parts":[["2019"]]},"title":"Greenhouse gas savings and energy balance of sewage sludge treated through an enhanced intermediate pyrolysis screw reactor combined with a reforming process","type":"article-journal"},"uris":["http://www.mendeley.com/documents/?uuid=1e78a79c-a539-4e59-9c43-fb0bd8a3380e","http://www.mendeley.com/documents/?uuid=21b098f2-046a-49eb-a82f-fe8a69d4c91b"]}],"mendeley":{"formattedCitation":"(Magazzino et al., 2020; Marazza et al., 2019)","plainTextFormattedCitation":"(Magazzino et al., 2020; Marazza et al., 2019)","previouslyFormattedCitation":"(Magazzino et al., 2020; Marazza et al., 2019)"},"properties":{"noteIndex":0},"schema":"https://github.com/citation-style-language/schema/raw/master/csl-citation.json"}</w:instrText>
      </w:r>
      <w:r w:rsidRPr="00C926EC">
        <w:rPr>
          <w:rFonts w:ascii="Arial" w:hAnsi="Arial" w:cs="Arial"/>
          <w:sz w:val="24"/>
          <w:szCs w:val="24"/>
          <w:lang w:val="en-US"/>
        </w:rPr>
        <w:fldChar w:fldCharType="separate"/>
      </w:r>
      <w:r w:rsidRPr="00C926EC">
        <w:rPr>
          <w:rFonts w:ascii="Arial" w:hAnsi="Arial" w:cs="Arial"/>
          <w:noProof/>
          <w:sz w:val="24"/>
          <w:szCs w:val="24"/>
          <w:lang w:val="en-US"/>
        </w:rPr>
        <w:t>(Magazzino et al., 2020; Marazza et al., 2019)</w:t>
      </w:r>
      <w:r w:rsidRPr="00C926EC">
        <w:rPr>
          <w:rFonts w:ascii="Arial" w:hAnsi="Arial" w:cs="Arial"/>
          <w:sz w:val="24"/>
          <w:szCs w:val="24"/>
          <w:lang w:val="en-US"/>
        </w:rPr>
        <w:fldChar w:fldCharType="end"/>
      </w:r>
      <w:r w:rsidRPr="00C926EC">
        <w:rPr>
          <w:rFonts w:ascii="Arial" w:hAnsi="Arial" w:cs="Arial"/>
          <w:sz w:val="24"/>
          <w:szCs w:val="24"/>
          <w:lang w:val="en-US"/>
        </w:rPr>
        <w:t xml:space="preserve"> sponsored by national and supra-national institutions. The Green Deal </w:t>
      </w:r>
      <w:r w:rsidR="00641CB8" w:rsidRPr="00C926EC">
        <w:rPr>
          <w:rFonts w:ascii="Arial" w:hAnsi="Arial" w:cs="Arial"/>
          <w:sz w:val="24"/>
          <w:szCs w:val="24"/>
          <w:lang w:val="en-US"/>
        </w:rPr>
        <w:t>F</w:t>
      </w:r>
      <w:r w:rsidRPr="00C926EC">
        <w:rPr>
          <w:rFonts w:ascii="Arial" w:hAnsi="Arial" w:cs="Arial"/>
          <w:sz w:val="24"/>
          <w:szCs w:val="24"/>
          <w:lang w:val="en-US"/>
        </w:rPr>
        <w:t xml:space="preserve">ramework (EU) </w:t>
      </w:r>
      <w:r w:rsidRPr="00C926EC">
        <w:rPr>
          <w:rFonts w:ascii="Arial" w:hAnsi="Arial" w:cs="Arial"/>
          <w:sz w:val="24"/>
          <w:szCs w:val="24"/>
          <w:lang w:val="en-US"/>
        </w:rPr>
        <w:fldChar w:fldCharType="begin" w:fldLock="1"/>
      </w:r>
      <w:r w:rsidRPr="00C926EC">
        <w:rPr>
          <w:rFonts w:ascii="Arial" w:hAnsi="Arial" w:cs="Arial"/>
          <w:sz w:val="24"/>
          <w:szCs w:val="24"/>
          <w:lang w:val="en-US"/>
        </w:rPr>
        <w:instrText>ADDIN CSL_CITATION {"citationItems":[{"id":"ITEM-1","itemData":{"author":[{"dropping-particle":"","family":"Europe Union","given":"","non-dropping-particle":"","parse-names":false,"suffix":""}],"id":"ITEM-1","issued":{"date-parts":[["2019"]]},"title":"Orientations towards the first Strategic Plan for Horizon Europe","type":"report"},"uris":["http://www.mendeley.com/documents/?uuid=32c26933-b050-4e91-9661-a00a4de7d975"]}],"mendeley":{"formattedCitation":"(Europe Union, 2019)","manualFormatting":"(European Union, 2019)","plainTextFormattedCitation":"(Europe Union, 2019)","previouslyFormattedCitation":"(Europe Union, 2019)"},"properties":{"noteIndex":0},"schema":"https://github.com/citation-style-language/schema/raw/master/csl-citation.json"}</w:instrText>
      </w:r>
      <w:r w:rsidRPr="00C926EC">
        <w:rPr>
          <w:rFonts w:ascii="Arial" w:hAnsi="Arial" w:cs="Arial"/>
          <w:sz w:val="24"/>
          <w:szCs w:val="24"/>
          <w:lang w:val="en-US"/>
        </w:rPr>
        <w:fldChar w:fldCharType="separate"/>
      </w:r>
      <w:r w:rsidRPr="00C926EC">
        <w:rPr>
          <w:rFonts w:ascii="Arial" w:hAnsi="Arial" w:cs="Arial"/>
          <w:noProof/>
          <w:sz w:val="24"/>
          <w:szCs w:val="24"/>
          <w:lang w:val="en-US"/>
        </w:rPr>
        <w:t>(European Union, 2019)</w:t>
      </w:r>
      <w:r w:rsidRPr="00C926EC">
        <w:rPr>
          <w:rFonts w:ascii="Arial" w:hAnsi="Arial" w:cs="Arial"/>
          <w:sz w:val="24"/>
          <w:szCs w:val="24"/>
          <w:lang w:val="en-US"/>
        </w:rPr>
        <w:fldChar w:fldCharType="end"/>
      </w:r>
      <w:r w:rsidR="00641CB8" w:rsidRPr="00C926EC">
        <w:rPr>
          <w:rFonts w:ascii="Arial" w:hAnsi="Arial" w:cs="Arial"/>
          <w:sz w:val="24"/>
          <w:szCs w:val="24"/>
          <w:lang w:val="en-US"/>
        </w:rPr>
        <w:t>,</w:t>
      </w:r>
      <w:r w:rsidRPr="00C926EC">
        <w:rPr>
          <w:rFonts w:ascii="Arial" w:hAnsi="Arial" w:cs="Arial"/>
          <w:sz w:val="24"/>
          <w:szCs w:val="24"/>
          <w:lang w:val="en-US"/>
        </w:rPr>
        <w:t xml:space="preserve"> for instance</w:t>
      </w:r>
      <w:r w:rsidR="00641CB8" w:rsidRPr="00C926EC">
        <w:rPr>
          <w:rFonts w:ascii="Arial" w:hAnsi="Arial" w:cs="Arial"/>
          <w:sz w:val="24"/>
          <w:szCs w:val="24"/>
          <w:lang w:val="en-US"/>
        </w:rPr>
        <w:t>,</w:t>
      </w:r>
      <w:r w:rsidRPr="00C926EC">
        <w:rPr>
          <w:rFonts w:ascii="Arial" w:hAnsi="Arial" w:cs="Arial"/>
          <w:sz w:val="24"/>
          <w:szCs w:val="24"/>
          <w:lang w:val="en-US"/>
        </w:rPr>
        <w:t xml:space="preserve"> prioritizes new alternatives for green fuels production</w:t>
      </w:r>
      <w:r w:rsidR="00641CB8" w:rsidRPr="00C926EC">
        <w:rPr>
          <w:rFonts w:ascii="Arial" w:hAnsi="Arial" w:cs="Arial"/>
          <w:sz w:val="24"/>
          <w:szCs w:val="24"/>
          <w:lang w:val="en-US"/>
        </w:rPr>
        <w:t xml:space="preserve"> and</w:t>
      </w:r>
      <w:r w:rsidRPr="00C926EC">
        <w:rPr>
          <w:rFonts w:ascii="Arial" w:hAnsi="Arial" w:cs="Arial"/>
          <w:sz w:val="24"/>
          <w:szCs w:val="24"/>
          <w:lang w:val="en-US"/>
        </w:rPr>
        <w:t xml:space="preserve"> </w:t>
      </w:r>
      <w:r w:rsidR="00641CB8" w:rsidRPr="00C926EC">
        <w:rPr>
          <w:rFonts w:ascii="Arial" w:hAnsi="Arial" w:cs="Arial"/>
          <w:sz w:val="24"/>
          <w:szCs w:val="24"/>
          <w:lang w:val="en-US"/>
        </w:rPr>
        <w:t xml:space="preserve">green </w:t>
      </w:r>
      <w:r w:rsidRPr="00C926EC">
        <w:rPr>
          <w:rFonts w:ascii="Arial" w:hAnsi="Arial" w:cs="Arial"/>
          <w:sz w:val="24"/>
          <w:szCs w:val="24"/>
          <w:lang w:val="en-US"/>
        </w:rPr>
        <w:t>chemicals from biomass and waste recycling, which are crucial in the transition to bio-based societies. These alternative energy sources are aimed to be flexible low-carbon energy providers in future power systems</w:t>
      </w:r>
      <w:r w:rsidR="000A47BE" w:rsidRPr="00C926EC">
        <w:rPr>
          <w:rFonts w:ascii="Arial" w:hAnsi="Arial" w:cs="Arial"/>
          <w:sz w:val="24"/>
          <w:szCs w:val="24"/>
          <w:lang w:val="en-US"/>
        </w:rPr>
        <w:t>,</w:t>
      </w:r>
      <w:r w:rsidRPr="00C926EC">
        <w:rPr>
          <w:rFonts w:ascii="Arial" w:hAnsi="Arial" w:cs="Arial"/>
          <w:sz w:val="24"/>
          <w:szCs w:val="24"/>
          <w:lang w:val="en-US"/>
        </w:rPr>
        <w:t xml:space="preserve"> that will need further policy support. </w:t>
      </w:r>
    </w:p>
    <w:p w14:paraId="4853BCE6" w14:textId="4B01B140" w:rsidR="006F3583" w:rsidRPr="00C926EC" w:rsidRDefault="006F3583" w:rsidP="006F3583">
      <w:pPr>
        <w:spacing w:line="480" w:lineRule="auto"/>
        <w:jc w:val="both"/>
        <w:rPr>
          <w:rFonts w:ascii="Arial" w:hAnsi="Arial" w:cs="Arial"/>
          <w:sz w:val="24"/>
          <w:szCs w:val="24"/>
          <w:lang w:val="en-US"/>
        </w:rPr>
      </w:pPr>
      <w:r w:rsidRPr="00C926EC">
        <w:rPr>
          <w:rFonts w:ascii="Arial" w:hAnsi="Arial" w:cs="Arial"/>
          <w:sz w:val="24"/>
          <w:szCs w:val="24"/>
          <w:lang w:val="en-US"/>
        </w:rPr>
        <w:t>One of the key aspects to comply with circular economy is the urgent need for waste disposal minimization</w:t>
      </w:r>
      <w:r w:rsidR="000A47BE" w:rsidRPr="00C926EC">
        <w:rPr>
          <w:rFonts w:ascii="Arial" w:hAnsi="Arial" w:cs="Arial"/>
          <w:sz w:val="24"/>
          <w:szCs w:val="24"/>
          <w:lang w:val="en-US"/>
        </w:rPr>
        <w:t xml:space="preserve"> and</w:t>
      </w:r>
      <w:r w:rsidRPr="00C926EC">
        <w:rPr>
          <w:rFonts w:ascii="Arial" w:hAnsi="Arial" w:cs="Arial"/>
          <w:sz w:val="24"/>
          <w:szCs w:val="24"/>
          <w:lang w:val="en-US"/>
        </w:rPr>
        <w:t xml:space="preserve"> biowaste valorization. Yet more, strategies targeting waste conversion to fuels and chemicals are booming showcasing the momentum of circular economy at scientific and social levels. For example, biogas production from the anaerobic digestion of biomass waste plays a key role in the transition towards decarbonized societies </w:t>
      </w:r>
      <w:r w:rsidRPr="00C926EC">
        <w:rPr>
          <w:rFonts w:ascii="Arial" w:hAnsi="Arial" w:cs="Arial"/>
          <w:sz w:val="24"/>
          <w:szCs w:val="24"/>
          <w:lang w:val="en-US"/>
        </w:rPr>
        <w:fldChar w:fldCharType="begin" w:fldLock="1"/>
      </w:r>
      <w:r w:rsidRPr="00C926EC">
        <w:rPr>
          <w:rFonts w:ascii="Arial" w:hAnsi="Arial" w:cs="Arial"/>
          <w:sz w:val="24"/>
          <w:szCs w:val="24"/>
          <w:lang w:val="en-US"/>
        </w:rPr>
        <w:instrText>ADDIN CSL_CITATION {"citationItems":[{"id":"ITEM-1","itemData":{"DOI":"10.1016/j.wasman.2019.07.019","ISSN":"18792456","PMID":"31376955","abstract":"Siloxanes present in small concentrations in biogas interfere with the operation of biogas-to-energy facilities. During biogas combustion, siloxanes form white deposits on engine components (engine heads, spark plugs, valves) in crystals or amorphous forms depending on the temperature. The purpose of this study was to evaluate the economic feasibility of biogas-to-energy systems for managing the operational challenges due to siloxanes in biogas. The facility maintenance cost data were compiled by a survey of biogas-to-energy facilities in the United States. Economic analyses were performed to compare the operational costs due to increased maintenance for removing the white deposits forming on the engine components and the installation of a pretreatment system (carbon adsorption) to remove siloxanes prior to combustion. Numerical analyses showed that for the facilities with operating capacities less than 1300 m3/h (750 scfm), the costs for installation and operation of the carbon adsorption system exceeded the maintenance costs for removal of deposits from the engine components. The maintenance costs correlated well with the reported maintenance needs which were between 120 and 800 man hours per year. On the basis of siloxane removal costs alone, it is not economically feasible to install a carbon adsorption system for siloxane removal prior to combustion for small facilities processing less than 1300 m3/h (750 scfm) of biogas. However, using a process for siloxane removal prior to gas engines (e.g., carbon adsorption) would be improve the overall performance of the gas engines and reduce maintenance need at all facilities.","author":[{"dropping-particle":"","family":"Tansel","given":"Berrin","non-dropping-particle":"","parse-names":false,"suffix":""},{"dropping-particle":"","family":"Surita","given":"Sharon C.","non-dropping-particle":"","parse-names":false,"suffix":""}],"container-title":"Waste Management","id":"ITEM-1","issued":{"date-parts":[["2019"]]},"title":"Managing siloxanes in biogas-to-energy facilities: Economic comparison of pre- vs post-combustion practices","type":"article-journal"},"uris":["http://www.mendeley.com/documents/?uuid=f797ce83-7858-4fa9-8adf-14369c0ebaa6","http://www.mendeley.com/documents/?uuid=6a5cae75-eec4-4ebd-8302-d5570f471f7a"]}],"mendeley":{"formattedCitation":"(Tansel and Surita, 2019)","plainTextFormattedCitation":"(Tansel and Surita, 2019)","previouslyFormattedCitation":"(Tansel and Surita, 2019)"},"properties":{"noteIndex":0},"schema":"https://github.com/citation-style-language/schema/raw/master/csl-citation.json"}</w:instrText>
      </w:r>
      <w:r w:rsidRPr="00C926EC">
        <w:rPr>
          <w:rFonts w:ascii="Arial" w:hAnsi="Arial" w:cs="Arial"/>
          <w:sz w:val="24"/>
          <w:szCs w:val="24"/>
          <w:lang w:val="en-US"/>
        </w:rPr>
        <w:fldChar w:fldCharType="separate"/>
      </w:r>
      <w:r w:rsidRPr="00C926EC">
        <w:rPr>
          <w:rFonts w:ascii="Arial" w:hAnsi="Arial" w:cs="Arial"/>
          <w:noProof/>
          <w:sz w:val="24"/>
          <w:szCs w:val="24"/>
          <w:lang w:val="en-US"/>
        </w:rPr>
        <w:t>(Tansel and Surita, 2019)</w:t>
      </w:r>
      <w:r w:rsidRPr="00C926EC">
        <w:rPr>
          <w:rFonts w:ascii="Arial" w:hAnsi="Arial" w:cs="Arial"/>
          <w:sz w:val="24"/>
          <w:szCs w:val="24"/>
          <w:lang w:val="en-US"/>
        </w:rPr>
        <w:fldChar w:fldCharType="end"/>
      </w:r>
      <w:r w:rsidRPr="00C926EC">
        <w:rPr>
          <w:rFonts w:ascii="Arial" w:hAnsi="Arial" w:cs="Arial"/>
          <w:sz w:val="24"/>
          <w:szCs w:val="24"/>
          <w:lang w:val="en-US"/>
        </w:rPr>
        <w:t xml:space="preserve">. Anaerobic digestion has been commonly used to convert biomass (including biowaste) into biogas suitable for further use </w:t>
      </w:r>
      <w:r w:rsidRPr="00C926EC">
        <w:rPr>
          <w:rFonts w:ascii="Arial" w:hAnsi="Arial" w:cs="Arial"/>
          <w:sz w:val="24"/>
          <w:szCs w:val="24"/>
          <w:lang w:val="en-US"/>
        </w:rPr>
        <w:fldChar w:fldCharType="begin" w:fldLock="1"/>
      </w:r>
      <w:r w:rsidRPr="00C926EC">
        <w:rPr>
          <w:rFonts w:ascii="Arial" w:hAnsi="Arial" w:cs="Arial"/>
          <w:sz w:val="24"/>
          <w:szCs w:val="24"/>
          <w:lang w:val="en-US"/>
        </w:rPr>
        <w:instrText>ADDIN CSL_CITATION {"citationItems":[{"id":"ITEM-1","itemData":{"DOI":"10.1007/s12649-019-00873-w","ISSN":"1877265X","abstract":"Purpose: The feasibility of coupling the anaerobic digestion of pig manure and co-pyrolysis of its digestate with milk thistle as lignocellulosic biomass was studied. Kinetic analysis was performed along with an evaluation of energy recovery attained from a combined approach Methods: Pig slurry was digested under mesophilic semi-continuous conditions. Digestate was dried and submitted to thermogravimetric analysis under inert atmosphere along with milk thistle samples. Kinetic evaluation was carried out using non-isothermal methods. Assessment of the energy obtained from the combined digestion and pyrolysis process was performed. Results: Digestion resulted in a yield of 308.5 ± 18.2 mL CH4/g VS. The evaluation of co-pyrolysis of mixtures at different contents of milk thistle showed no interactions between the two materials during pyrolysis. The energy need associated with thermal drying of digestate was 476 MJ/m3 of pig slurry. Conclusions: Co-pyrolysis of lignocellulosic biomass and digestate [25% content of digestate (w/w)] resulted in a lower char production, associated with the lower ash content of the former. The extra supply of energy needed for thermal drying of the digestate might be obtained from co-pyrolysis with biomass. This approach presented an energy recovery of about 29.4% Graphic Abstract: [Figure not available: see fulltext.]","author":[{"dropping-particle":"","family":"González-Arias","given":"J.","non-dropping-particle":"","parse-names":false,"suffix":""},{"dropping-particle":"","family":"Fernández","given":"C.","non-dropping-particle":"","parse-names":false,"suffix":""},{"dropping-particle":"","family":"Rosas","given":"J. G.","non-dropping-particle":"","parse-names":false,"suffix":""},{"dropping-particle":"","family":"Bernal","given":"M. P.","non-dropping-particle":"","parse-names":false,"suffix":""},{"dropping-particle":"","family":"Clemente","given":"R.","non-dropping-particle":"","parse-names":false,"suffix":""},{"dropping-particle":"","family":"Sánchez","given":"M. E.","non-dropping-particle":"","parse-names":false,"suffix":""},{"dropping-particle":"","family":"Gómez","given":"X.","non-dropping-particle":"","parse-names":false,"suffix":""}],"container-title":"Waste and Biomass Valorization","id":"ITEM-1","issue":"11","issued":{"date-parts":[["2020","11"]]},"page":"6125-6137","publisher":"Springer Science and Business Media B.V.","title":"Integrating Anaerobic Digestion of Pig Slurry and Thermal Valorisation of Biomass","type":"article-journal","volume":"11"},"uris":["http://www.mendeley.com/documents/?uuid=3830558a-4534-4a1f-bfa7-04f6146caba8"]}],"mendeley":{"formattedCitation":"(J. González-Arias et al., 2020)","plainTextFormattedCitation":"(J. González-Arias et al., 2020)","previouslyFormattedCitation":"(J. González-Arias et al., 2020)"},"properties":{"noteIndex":0},"schema":"https://github.com/citation-style-language/schema/raw/master/csl-citation.json"}</w:instrText>
      </w:r>
      <w:r w:rsidRPr="00C926EC">
        <w:rPr>
          <w:rFonts w:ascii="Arial" w:hAnsi="Arial" w:cs="Arial"/>
          <w:sz w:val="24"/>
          <w:szCs w:val="24"/>
          <w:lang w:val="en-US"/>
        </w:rPr>
        <w:fldChar w:fldCharType="separate"/>
      </w:r>
      <w:r w:rsidRPr="00C926EC">
        <w:rPr>
          <w:rFonts w:ascii="Arial" w:hAnsi="Arial" w:cs="Arial"/>
          <w:noProof/>
          <w:sz w:val="24"/>
          <w:szCs w:val="24"/>
          <w:lang w:val="en-US"/>
        </w:rPr>
        <w:t>(J. González-Arias et al., 2020)</w:t>
      </w:r>
      <w:r w:rsidRPr="00C926EC">
        <w:rPr>
          <w:rFonts w:ascii="Arial" w:hAnsi="Arial" w:cs="Arial"/>
          <w:sz w:val="24"/>
          <w:szCs w:val="24"/>
          <w:lang w:val="en-US"/>
        </w:rPr>
        <w:fldChar w:fldCharType="end"/>
      </w:r>
      <w:r w:rsidRPr="00C926EC">
        <w:rPr>
          <w:rFonts w:ascii="Arial" w:hAnsi="Arial" w:cs="Arial"/>
          <w:sz w:val="24"/>
          <w:szCs w:val="24"/>
          <w:lang w:val="en-US"/>
        </w:rPr>
        <w:t xml:space="preserve">. One of the most promising biogas uses is its upgrading to biomethane </w:t>
      </w:r>
      <w:r w:rsidRPr="00C926EC">
        <w:rPr>
          <w:rFonts w:ascii="Arial" w:hAnsi="Arial" w:cs="Arial"/>
          <w:sz w:val="24"/>
          <w:szCs w:val="24"/>
          <w:lang w:val="en-US"/>
        </w:rPr>
        <w:fldChar w:fldCharType="begin" w:fldLock="1"/>
      </w:r>
      <w:r w:rsidRPr="00C926EC">
        <w:rPr>
          <w:rFonts w:ascii="Arial" w:hAnsi="Arial" w:cs="Arial"/>
          <w:sz w:val="24"/>
          <w:szCs w:val="24"/>
          <w:lang w:val="en-US"/>
        </w:rPr>
        <w:instrText>ADDIN CSL_CITATION {"citationItems":[{"id":"ITEM-1","itemData":{"DOI":"10.1016/j.wasman.2019.02.023","ISSN":"18792456","PMID":"31109529","abstract":"Biogas technology is one of the widely applied anaerobic digestion approaches to harvest methane from different wastes. Recently, methane loss from biogas plants and its environmental and economic consequences have been underlined, but not thoroughly researched. In this investigation, process related CH 4 loss from nine different commercially operating biogas upgrading plants such as water scrubber, amine, and membrane-based plants was examined. The result of the measurements showed an average of 0.81% methane loss with respect to supplied methane to the upgrading plants. A methane loss up to 1.97% was detected in water scrubber methane upgrading technology and up to 0.56% loss from membrane technology, while 0.04% methane loss was detected in amine based upgrading, thus the water scrubber has shown the most detrimental effect as regards methane loss. The regenerative thermal oxidizer was further applied to reduce CH 4 emission by 99.5% of the amount of CH 4 in the waste gas from the upgrading unit, which ensures the sustainable process of biogas production.","author":[{"dropping-particle":"","family":"Kvist","given":"Torben","non-dropping-particle":"","parse-names":false,"suffix":""},{"dropping-particle":"","family":"Aryal","given":"Nabin","non-dropping-particle":"","parse-names":false,"suffix":""}],"container-title":"Waste Management","id":"ITEM-1","issued":{"date-parts":[["2019"]]},"title":"Methane loss from commercially operating biogas upgrading plants","type":"article-journal"},"uris":["http://www.mendeley.com/documents/?uuid=f5bfe99c-6c1d-4d5a-ab0a-c93480718c1b","http://www.mendeley.com/documents/?uuid=1d9e0291-3804-4e1d-8854-76ca442cc8a0"]},{"id":"ITEM-2","itemData":{"DOI":"10.1016/j.energy.2013.02.066","ISBN":"0360-5442","ISSN":"03605442","abstract":"The paper reports the preliminary design and the economic evaluation of an innovative carbon dioxide removal process from biogas, characterized by the capture and storage of the removed carbon dioxide. The studied process uses industrial residues for carbon dioxide capture and storage, through an accelerated carbonation process. The considered industrial residues are APC (air pollution control) residues from waste-to-energy plants, which are characterized by a high content of alkaline earth metals, calcium in particular, in the form of hydroxides, oxides or silicates. The carbon dioxide is removed from the biogas by alkali solution absorption. The spent solution, containing carbonate and bicarbonate ions is regenerated through reaction with calcium contained in the APC residues, forming calcium carbonate (APC carbonation) and reproducing - at least in part - the original alkali compound. A technical feasibility assessment of the method was carried out, based on pilot plant operation results, highlighting some constraints on the possibility of operating at very large scale, due to the high amount of required residues. Then a preliminary economic assessment of the method was carried out, with the aim of estimating the specific cost of treatment on appropriate industrial scale and comparing it with the costs of commercial methods. © 2013 Elsevier Ltd.","author":[{"dropping-particle":"","family":"Lombardi","given":"Lidia","non-dropping-particle":"","parse-names":false,"suffix":""},{"dropping-particle":"","family":"Carnevale","given":"Ennio","non-dropping-particle":"","parse-names":false,"suffix":""}],"container-title":"Energy","id":"ITEM-2","issued":{"date-parts":[["2013"]]},"page":"88-94","title":"Economic evaluations of an innovative biogas upgrading method with CO2storage","type":"article-journal","volume":"62"},"uris":["http://www.mendeley.com/documents/?uuid=ee4f651a-4a9f-41c4-ac03-ef4c25246fd8","http://www.mendeley.com/documents/?uuid=79424591-7d06-43b5-a850-852d8a8a5573"]}],"mendeley":{"formattedCitation":"(Kvist and Aryal, 2019; Lombardi and Carnevale, 2013)","plainTextFormattedCitation":"(Kvist and Aryal, 2019; Lombardi and Carnevale, 2013)","previouslyFormattedCitation":"(Kvist and Aryal, 2019; Lombardi and Carnevale, 2013)"},"properties":{"noteIndex":0},"schema":"https://github.com/citation-style-language/schema/raw/master/csl-citation.json"}</w:instrText>
      </w:r>
      <w:r w:rsidRPr="00C926EC">
        <w:rPr>
          <w:rFonts w:ascii="Arial" w:hAnsi="Arial" w:cs="Arial"/>
          <w:sz w:val="24"/>
          <w:szCs w:val="24"/>
          <w:lang w:val="en-US"/>
        </w:rPr>
        <w:fldChar w:fldCharType="separate"/>
      </w:r>
      <w:r w:rsidRPr="00C926EC">
        <w:rPr>
          <w:rFonts w:ascii="Arial" w:hAnsi="Arial" w:cs="Arial"/>
          <w:noProof/>
          <w:sz w:val="24"/>
          <w:szCs w:val="24"/>
          <w:lang w:val="en-US"/>
        </w:rPr>
        <w:t>(Kvist and Aryal, 2019; Lombardi and Carnevale, 2013)</w:t>
      </w:r>
      <w:r w:rsidRPr="00C926EC">
        <w:rPr>
          <w:rFonts w:ascii="Arial" w:hAnsi="Arial" w:cs="Arial"/>
          <w:sz w:val="24"/>
          <w:szCs w:val="24"/>
          <w:lang w:val="en-US"/>
        </w:rPr>
        <w:fldChar w:fldCharType="end"/>
      </w:r>
      <w:r w:rsidRPr="00C926EC">
        <w:rPr>
          <w:rFonts w:ascii="Arial" w:hAnsi="Arial" w:cs="Arial"/>
          <w:sz w:val="24"/>
          <w:szCs w:val="24"/>
          <w:lang w:val="en-US"/>
        </w:rPr>
        <w:t xml:space="preserve">. In fact, </w:t>
      </w:r>
      <w:r w:rsidR="000A47BE" w:rsidRPr="00C926EC">
        <w:rPr>
          <w:rFonts w:ascii="Arial" w:hAnsi="Arial" w:cs="Arial"/>
          <w:sz w:val="24"/>
          <w:szCs w:val="24"/>
          <w:lang w:val="en-US"/>
        </w:rPr>
        <w:t>b</w:t>
      </w:r>
      <w:r w:rsidRPr="00C926EC">
        <w:rPr>
          <w:rFonts w:ascii="Arial" w:hAnsi="Arial" w:cs="Arial"/>
          <w:sz w:val="24"/>
          <w:szCs w:val="24"/>
          <w:lang w:val="en-US"/>
        </w:rPr>
        <w:t xml:space="preserve">iomethane could be an interesting option to avoid the utilization of fossil natural gas, allowing the development of </w:t>
      </w:r>
      <w:proofErr w:type="spellStart"/>
      <w:r w:rsidRPr="00C926EC">
        <w:rPr>
          <w:rFonts w:ascii="Arial" w:hAnsi="Arial" w:cs="Arial"/>
          <w:sz w:val="24"/>
          <w:szCs w:val="24"/>
          <w:lang w:val="en-US"/>
        </w:rPr>
        <w:t>bioeconomies</w:t>
      </w:r>
      <w:proofErr w:type="spellEnd"/>
      <w:r w:rsidRPr="00C926EC">
        <w:rPr>
          <w:rFonts w:ascii="Arial" w:hAnsi="Arial" w:cs="Arial"/>
          <w:sz w:val="24"/>
          <w:szCs w:val="24"/>
          <w:lang w:val="en-US"/>
        </w:rPr>
        <w:t xml:space="preserve"> where biomass and wastes are the axis of the </w:t>
      </w:r>
      <w:r w:rsidRPr="00C926EC">
        <w:rPr>
          <w:rFonts w:ascii="Arial" w:hAnsi="Arial" w:cs="Arial"/>
          <w:sz w:val="24"/>
          <w:szCs w:val="24"/>
          <w:lang w:val="en-US"/>
        </w:rPr>
        <w:lastRenderedPageBreak/>
        <w:t xml:space="preserve">sought-after circular economy. However, the lack of long-term strategies to develop these alternatives gives rise to uncertainties that need to be mitigated by policy-makers </w:t>
      </w:r>
      <w:r w:rsidRPr="00C926EC">
        <w:rPr>
          <w:rFonts w:ascii="Arial" w:hAnsi="Arial" w:cs="Arial"/>
          <w:sz w:val="24"/>
          <w:szCs w:val="24"/>
          <w:lang w:val="en-US"/>
        </w:rPr>
        <w:fldChar w:fldCharType="begin" w:fldLock="1"/>
      </w:r>
      <w:r w:rsidRPr="00C926EC">
        <w:rPr>
          <w:rFonts w:ascii="Arial" w:hAnsi="Arial" w:cs="Arial"/>
          <w:sz w:val="24"/>
          <w:szCs w:val="24"/>
          <w:lang w:val="en-US"/>
        </w:rPr>
        <w:instrText>ADDIN CSL_CITATION {"citationItems":[{"id":"ITEM-1","itemData":{"DOI":"10.1016/j.jclepro.2020.122160","ISSN":"09596526","abstract":"Lately International Energy Agency (IEA) highlighted the vital role the biogas and anaerobic digester (AD) in the advent of circular economy. Organic residues or waste will be converted into high-value products, power, heating and fuel in the future of bio-economy. This study look specifically into the institutional and market factor, of a Feed-in Tariff (FiT) mechanism as a policy instrument to promote integration of biomethane into existing gas grid. In the circumstance where market is not in the favour of bioenergy/biogas, with fossil fuels are subsidised under national economic policy of the case study in Malaysia; this study found that under the current piped natural gas price, the proposed FiT, 34.02–141.79 MYR/GJ (7.13–29.73 EUR/GJ) is economically incompetent for biomethane to be injected into the grid without other policy and mandate support. However, natural gas price rationalisation may close the price gap, this is especially for biomethane derived from palm oil mill effluent (POME) and food waste at 4 MW size. Through Net Present Value (NPV) approach, among the four locally available feedstock assessed in this study: POME, food waste, chicken manures and cattle manures; POME and food waste show lower levelised cost due to minimal competing utilisation value in addition to their higher biogas conversion rate. POME prevails as a feedstock choice for its uniform composition and on-site production advantage. Discussion and recommendations based on the current policy scenarios in Malaysia are provided in the section following results and findings.","author":[{"dropping-particle":"","family":"Hoo","given":"Poh Ying","non-dropping-particle":"","parse-names":false,"suffix":""},{"dropping-particle":"","family":"Hashim","given":"Haslenda","non-dropping-particle":"","parse-names":false,"suffix":""},{"dropping-particle":"","family":"Ho","given":"Wai Shin","non-dropping-particle":"","parse-names":false,"suffix":""}],"container-title":"Journal of Cleaner Production","id":"ITEM-1","issued":{"date-parts":[["2020","10"]]},"page":"122160","publisher":"Elsevier Ltd","title":"Towards circular economy: Economic feasibility of waste to biomethane injection through proposed feed-in tariff","type":"article-journal","volume":"270"},"uris":["http://www.mendeley.com/documents/?uuid=2b94e0de-8d87-38f4-a7eb-a6c24c5c4fca","http://www.mendeley.com/documents/?uuid=b92c030c-35ca-4fc1-a792-c46e9c35c65a"]}],"mendeley":{"formattedCitation":"(Hoo et al., 2020)","plainTextFormattedCitation":"(Hoo et al., 2020)","previouslyFormattedCitation":"(Hoo et al., 2020)"},"properties":{"noteIndex":0},"schema":"https://github.com/citation-style-language/schema/raw/master/csl-citation.json"}</w:instrText>
      </w:r>
      <w:r w:rsidRPr="00C926EC">
        <w:rPr>
          <w:rFonts w:ascii="Arial" w:hAnsi="Arial" w:cs="Arial"/>
          <w:sz w:val="24"/>
          <w:szCs w:val="24"/>
          <w:lang w:val="en-US"/>
        </w:rPr>
        <w:fldChar w:fldCharType="separate"/>
      </w:r>
      <w:r w:rsidRPr="00C926EC">
        <w:rPr>
          <w:rFonts w:ascii="Arial" w:hAnsi="Arial" w:cs="Arial"/>
          <w:noProof/>
          <w:sz w:val="24"/>
          <w:szCs w:val="24"/>
          <w:lang w:val="en-US"/>
        </w:rPr>
        <w:t>(Hoo et al., 2020)</w:t>
      </w:r>
      <w:r w:rsidRPr="00C926EC">
        <w:rPr>
          <w:rFonts w:ascii="Arial" w:hAnsi="Arial" w:cs="Arial"/>
          <w:sz w:val="24"/>
          <w:szCs w:val="24"/>
          <w:lang w:val="en-US"/>
        </w:rPr>
        <w:fldChar w:fldCharType="end"/>
      </w:r>
      <w:r w:rsidRPr="00C926EC">
        <w:rPr>
          <w:rFonts w:ascii="Arial" w:hAnsi="Arial" w:cs="Arial"/>
          <w:sz w:val="24"/>
          <w:szCs w:val="24"/>
          <w:lang w:val="en-US"/>
        </w:rPr>
        <w:t>. For instance, feed-in tariffs can potentially promote the integration of biomethane into the existing gas market. Thus, undoubtedly, would promote the implementation of circular economy strategies since the market volatility of these processes is one of the strongest dilemmas for investors.</w:t>
      </w:r>
    </w:p>
    <w:p w14:paraId="4F82A0FD" w14:textId="052AB0AF" w:rsidR="006F3583" w:rsidRPr="00C926EC" w:rsidRDefault="006F3583" w:rsidP="006F3583">
      <w:pPr>
        <w:spacing w:line="480" w:lineRule="auto"/>
        <w:jc w:val="both"/>
        <w:rPr>
          <w:rFonts w:ascii="Arial" w:hAnsi="Arial" w:cs="Arial"/>
          <w:sz w:val="24"/>
          <w:szCs w:val="24"/>
        </w:rPr>
      </w:pPr>
      <w:r w:rsidRPr="00C926EC">
        <w:rPr>
          <w:rFonts w:ascii="Arial" w:hAnsi="Arial" w:cs="Arial"/>
          <w:sz w:val="24"/>
          <w:szCs w:val="24"/>
          <w:lang w:val="en-US"/>
        </w:rPr>
        <w:t xml:space="preserve">To overcome hesitancy in the use of biomethane and facilitate its implementation in the current economies to transform them into circular economies, it is important to consider potential environmental benefits too. For marine transport applications, the use of liquefied/compressed natural gas (LNG/CNG) as an alternative fuel is gathering momentum due to the strict environmental regulations adopted by governments for other traditional fuels (i.e., diesel). As reported by Hagos and </w:t>
      </w:r>
      <w:proofErr w:type="spellStart"/>
      <w:r w:rsidRPr="00C926EC">
        <w:rPr>
          <w:rFonts w:ascii="Arial" w:hAnsi="Arial" w:cs="Arial"/>
          <w:sz w:val="24"/>
          <w:szCs w:val="24"/>
          <w:lang w:val="en-US"/>
        </w:rPr>
        <w:t>Ahlrgren</w:t>
      </w:r>
      <w:proofErr w:type="spellEnd"/>
      <w:r w:rsidRPr="00C926EC">
        <w:rPr>
          <w:rFonts w:ascii="Arial" w:hAnsi="Arial" w:cs="Arial"/>
          <w:sz w:val="24"/>
          <w:szCs w:val="24"/>
          <w:lang w:val="en-US"/>
        </w:rPr>
        <w:t xml:space="preserve"> (2018) the use of biomethane as an alternative to LNG fuel could cause a significant reduction in global emissions, both in road transport and marine sectors including fishing and transport </w:t>
      </w:r>
      <w:r w:rsidRPr="00C926EC">
        <w:rPr>
          <w:rFonts w:ascii="Arial" w:hAnsi="Arial" w:cs="Arial"/>
          <w:sz w:val="24"/>
          <w:szCs w:val="24"/>
          <w:lang w:val="en-US"/>
        </w:rPr>
        <w:fldChar w:fldCharType="begin" w:fldLock="1"/>
      </w:r>
      <w:r w:rsidRPr="00C926EC">
        <w:rPr>
          <w:rFonts w:ascii="Arial" w:hAnsi="Arial" w:cs="Arial"/>
          <w:sz w:val="24"/>
          <w:szCs w:val="24"/>
          <w:lang w:val="en-US"/>
        </w:rPr>
        <w:instrText>ADDIN CSL_CITATION {"citationItems":[{"id":"ITEM-1","itemData":{"DOI":"10.1016/j.trd.2018.07.018","ISSN":"13619209","abstract":"In this paper, potential natural gas and renewable natural gas supply pathways and natural gas vehicles (NGVs) have been selected and evaluated with regards to well-to-wheel energy expended, greenhouse gas (GHG) emissions, and regulated (air pollutant) emissions. The vehicles included in the evaluation are passenger cars, light-duty vehicles (LDVs), and heavy-duty vehicles (HDVs) for road-transport applications, and a short-range passenger vessel for maritime transport applications. The results show that, compared to conventional fuels, in both transport applications and for all vehicle classes, the use of compressed and liquefied natural gas has a 15–27% GHG emissions reduction effect per km travel. The effect becomes large, 81–211%, when compressed and liquefied renewable natural gas are used instead. The results are sensitive to the type and source of feedstock used, the type of vehicle engine, assumed methane leakage and methane slip, and the allocated energy and environmental digestate credits, in each pathway. In maritime applications, the use of liquefied natural gas and renewable natural gas instead of low sulfur marine fuels results in a 60–100% SOx and 90–96% PM emissions reduction. A 1% methane slip from a dedicated LNG passenger vessel results, on average, in 8.5% increase in net GHG emissions.","author":[{"dropping-particle":"","family":"Hagos","given":"Dejene Assefa","non-dropping-particle":"","parse-names":false,"suffix":""},{"dropping-particle":"","family":"Ahlgren","given":"Erik O.","non-dropping-particle":"","parse-names":false,"suffix":""}],"container-title":"Transportation Research Part D: Transport and Environment","id":"ITEM-1","issued":{"date-parts":[["2018","12"]]},"page":"14-35","publisher":"Elsevier Ltd","title":"Well-to-wheel assessment of natural gas vehicles and their fuel supply infrastructures – Perspectives on gas in transport in Denmark","type":"article-journal","volume":"65"},"uris":["http://www.mendeley.com/documents/?uuid=14a88713-95b0-38e5-8b5a-0ebc7b2b31ac","http://www.mendeley.com/documents/?uuid=cd43235b-0739-41c9-aded-26e256fcd4dd"]}],"mendeley":{"formattedCitation":"(Hagos and Ahlgren, 2018)","plainTextFormattedCitation":"(Hagos and Ahlgren, 2018)","previouslyFormattedCitation":"(Hagos and Ahlgren, 2018)"},"properties":{"noteIndex":0},"schema":"https://github.com/citation-style-language/schema/raw/master/csl-citation.json"}</w:instrText>
      </w:r>
      <w:r w:rsidRPr="00C926EC">
        <w:rPr>
          <w:rFonts w:ascii="Arial" w:hAnsi="Arial" w:cs="Arial"/>
          <w:sz w:val="24"/>
          <w:szCs w:val="24"/>
          <w:lang w:val="en-US"/>
        </w:rPr>
        <w:fldChar w:fldCharType="separate"/>
      </w:r>
      <w:r w:rsidRPr="00C926EC">
        <w:rPr>
          <w:rFonts w:ascii="Arial" w:hAnsi="Arial" w:cs="Arial"/>
          <w:noProof/>
          <w:sz w:val="24"/>
          <w:szCs w:val="24"/>
          <w:lang w:val="en-US"/>
        </w:rPr>
        <w:t>(Hagos and Ahlgren, 2018)</w:t>
      </w:r>
      <w:r w:rsidRPr="00C926EC">
        <w:rPr>
          <w:rFonts w:ascii="Arial" w:hAnsi="Arial" w:cs="Arial"/>
          <w:sz w:val="24"/>
          <w:szCs w:val="24"/>
          <w:lang w:val="en-US"/>
        </w:rPr>
        <w:fldChar w:fldCharType="end"/>
      </w:r>
      <w:r w:rsidRPr="00C926EC">
        <w:rPr>
          <w:rFonts w:ascii="Arial" w:hAnsi="Arial" w:cs="Arial"/>
          <w:sz w:val="24"/>
          <w:szCs w:val="24"/>
          <w:lang w:val="en-US"/>
        </w:rPr>
        <w:t>. In particular, well-to-wheel fuel emission conversion factor is 3.3 kg of CO</w:t>
      </w:r>
      <w:r w:rsidRPr="00C926EC">
        <w:rPr>
          <w:rFonts w:ascii="Arial" w:hAnsi="Arial" w:cs="Arial"/>
          <w:sz w:val="24"/>
          <w:szCs w:val="24"/>
          <w:vertAlign w:val="subscript"/>
          <w:lang w:val="en-US"/>
        </w:rPr>
        <w:t>2</w:t>
      </w:r>
      <w:r w:rsidRPr="00C926EC">
        <w:rPr>
          <w:rFonts w:ascii="Arial" w:hAnsi="Arial" w:cs="Arial"/>
          <w:sz w:val="24"/>
          <w:szCs w:val="24"/>
          <w:lang w:val="en-US"/>
        </w:rPr>
        <w:t xml:space="preserve"> per kg of CNG  </w:t>
      </w:r>
      <w:r w:rsidRPr="00C926EC">
        <w:rPr>
          <w:rFonts w:ascii="Arial" w:hAnsi="Arial" w:cs="Arial"/>
          <w:sz w:val="24"/>
          <w:szCs w:val="24"/>
          <w:lang w:val="en-US"/>
        </w:rPr>
        <w:fldChar w:fldCharType="begin" w:fldLock="1"/>
      </w:r>
      <w:r w:rsidRPr="00C926EC">
        <w:rPr>
          <w:rFonts w:ascii="Arial" w:hAnsi="Arial" w:cs="Arial"/>
          <w:sz w:val="24"/>
          <w:szCs w:val="24"/>
          <w:lang w:val="en-US"/>
        </w:rPr>
        <w:instrText>ADDIN CSL_CITATION {"citationItems":[{"id":"ITEM-1","itemData":{"author":[{"dropping-particle":"","family":"Cefic &amp; ECTA","given":"","non-dropping-particle":"","parse-names":false,"suffix":""}],"id":"ITEM-1","issued":{"date-parts":[["2011"]]},"title":"Guidelines for Measuring and Managing CO2 Emission from Freight Transport Operations","type":"report"},"uris":["http://www.mendeley.com/documents/?uuid=0990b52f-86bc-4b85-8d6d-73640ffa714b"]}],"mendeley":{"formattedCitation":"(Cefic &amp; ECTA, 2011)","plainTextFormattedCitation":"(Cefic &amp; ECTA, 2011)","previouslyFormattedCitation":"(Cefic &amp; ECTA, 2011)"},"properties":{"noteIndex":0},"schema":"https://github.com/citation-style-language/schema/raw/master/csl-citation.json"}</w:instrText>
      </w:r>
      <w:r w:rsidRPr="00C926EC">
        <w:rPr>
          <w:rFonts w:ascii="Arial" w:hAnsi="Arial" w:cs="Arial"/>
          <w:sz w:val="24"/>
          <w:szCs w:val="24"/>
          <w:lang w:val="en-US"/>
        </w:rPr>
        <w:fldChar w:fldCharType="separate"/>
      </w:r>
      <w:r w:rsidRPr="00C926EC">
        <w:rPr>
          <w:rFonts w:ascii="Arial" w:hAnsi="Arial" w:cs="Arial"/>
          <w:noProof/>
          <w:sz w:val="24"/>
          <w:szCs w:val="24"/>
          <w:lang w:val="en-US"/>
        </w:rPr>
        <w:t>(Cefic &amp; ECTA, 2011)</w:t>
      </w:r>
      <w:r w:rsidRPr="00C926EC">
        <w:rPr>
          <w:rFonts w:ascii="Arial" w:hAnsi="Arial" w:cs="Arial"/>
          <w:sz w:val="24"/>
          <w:szCs w:val="24"/>
          <w:lang w:val="en-US"/>
        </w:rPr>
        <w:fldChar w:fldCharType="end"/>
      </w:r>
      <w:r w:rsidRPr="00C926EC">
        <w:rPr>
          <w:rFonts w:ascii="Arial" w:hAnsi="Arial" w:cs="Arial"/>
          <w:sz w:val="24"/>
          <w:szCs w:val="24"/>
          <w:lang w:val="en-US"/>
        </w:rPr>
        <w:t>. Moreover, it has been found that the greenhouse gas emissions can be lowered by nearly 500 kg of equivalent CO</w:t>
      </w:r>
      <w:r w:rsidRPr="00C926EC">
        <w:rPr>
          <w:rFonts w:ascii="Arial" w:hAnsi="Arial" w:cs="Arial"/>
          <w:sz w:val="24"/>
          <w:szCs w:val="24"/>
          <w:vertAlign w:val="subscript"/>
          <w:lang w:val="en-US"/>
        </w:rPr>
        <w:t>2</w:t>
      </w:r>
      <w:r w:rsidRPr="00C926EC">
        <w:rPr>
          <w:rFonts w:ascii="Arial" w:hAnsi="Arial" w:cs="Arial"/>
          <w:sz w:val="24"/>
          <w:szCs w:val="24"/>
          <w:lang w:val="en-US"/>
        </w:rPr>
        <w:t xml:space="preserve"> per MWh compared to petrol or diesel in a life cycle view. Apart for the environmental benefits of using biomethane as transport fuel, anaerobic digestion for obtaining biogas include</w:t>
      </w:r>
      <w:r w:rsidR="009319F7" w:rsidRPr="00C926EC">
        <w:rPr>
          <w:rFonts w:ascii="Arial" w:hAnsi="Arial" w:cs="Arial"/>
          <w:sz w:val="24"/>
          <w:szCs w:val="24"/>
          <w:lang w:val="en-US"/>
        </w:rPr>
        <w:t>s</w:t>
      </w:r>
      <w:r w:rsidRPr="00C926EC">
        <w:rPr>
          <w:rFonts w:ascii="Arial" w:hAnsi="Arial" w:cs="Arial"/>
          <w:sz w:val="24"/>
          <w:szCs w:val="24"/>
          <w:lang w:val="en-US"/>
        </w:rPr>
        <w:t xml:space="preserve"> other environmental approaches like the use of the digestate produced in this treatment as fertilizer, thus reducing the amount of mineral fertilizer commonly used </w:t>
      </w:r>
      <w:r w:rsidRPr="00C926EC">
        <w:rPr>
          <w:rFonts w:ascii="Arial" w:hAnsi="Arial" w:cs="Arial"/>
          <w:sz w:val="24"/>
          <w:szCs w:val="24"/>
          <w:lang w:val="en-US"/>
        </w:rPr>
        <w:fldChar w:fldCharType="begin" w:fldLock="1"/>
      </w:r>
      <w:r w:rsidRPr="00C926EC">
        <w:rPr>
          <w:rFonts w:ascii="Arial" w:hAnsi="Arial" w:cs="Arial"/>
          <w:sz w:val="24"/>
          <w:szCs w:val="24"/>
          <w:lang w:val="en-US"/>
        </w:rPr>
        <w:instrText>ADDIN CSL_CITATION {"citationItems":[{"id":"ITEM-1","itemData":{"DOI":"10.1007/s11356-020-09461-1","ISSN":"16147499","PMID":"32514914","abstract":"The coupling of biological and thermal technologies allows for the complete conversion of wastes into energy and biochar eliminating the problem of sludge disposal. The valorisation of fatty residues as co-substrate in a mesophilic digester of a wastewater treatment plant was studied considering an integrated approach of co-digestion and pyrolysis. Four digested samples obtained from co-digestion of sewage sludge and butcher’s fat waste were studied by thermogravimetric analysis. The activation energy corresponding to the sludge pyrolysis was calculated by a non-isothermal kinetic. Arrhenius activation energy was lower for the pyrolysis of a digested grease sample (92 kJ mol−1 obtained by OFW and 86 kJ mol−1 obtained by Vyazovkin) than for the pyrolysis of sewage sludge and its blends (164–190 kJ mol−1 obtained by OFW and 162–190 kJ mol−1 obtained by Vyazovkin). The analysis of the integrated approach of anaerobic co-digestion and pyrolysis of digestates demonstrated that the addition of 3% (w/v) of fat to the feeding sludge results in a 25% increase in the electricity obtained from biogas (if a combined heat and power unit is considered for biogas valorisation) and increasing the fat content to 15% allows for covering all thermal needs for drying of digestate and more than doubles (2.4 times) the electricity production when the scenario of digestion and pyrolysis is contemplated.","author":[{"dropping-particle":"","family":"González-Arias","given":"Judith","non-dropping-particle":"","parse-names":false,"suffix":""},{"dropping-particle":"","family":"Gil","given":"María Victoria","non-dropping-particle":"","parse-names":false,"suffix":""},{"dropping-particle":"","family":"Fernández","given":"Ramón Ángel","non-dropping-particle":"","parse-names":false,"suffix":""},{"dropping-particle":"","family":"Martínez","given":"Elia Judith","non-dropping-particle":"","parse-names":false,"suffix":""},{"dropping-particle":"","family":"Fernández","given":"Camino","non-dropping-particle":"","parse-names":false,"suffix":""},{"dropping-particle":"","family":"Papaharalabos","given":"George","non-dropping-particle":"","parse-names":false,"suffix":""},{"dropping-particle":"","family":"Gómez","given":"Xiomar","non-dropping-particle":"","parse-names":false,"suffix":""}],"container-title":"Environmental Science and Pollution Research","id":"ITEM-1","issued":{"date-parts":[["2020"]]},"title":"Integrating anaerobic digestion and pyrolysis for treating digestates derived from sewage sludge and fat wastes","type":"article-journal"},"uris":["http://www.mendeley.com/documents/?uuid=3dba2c32-72f9-4087-a79f-4f176ba777e5"]}],"mendeley":{"formattedCitation":"(Judith González-Arias et al., 2020)","plainTextFormattedCitation":"(Judith González-Arias et al., 2020)","previouslyFormattedCitation":"(Judith González-Arias et al., 2020)"},"properties":{"noteIndex":0},"schema":"https://github.com/citation-style-language/schema/raw/master/csl-citation.json"}</w:instrText>
      </w:r>
      <w:r w:rsidRPr="00C926EC">
        <w:rPr>
          <w:rFonts w:ascii="Arial" w:hAnsi="Arial" w:cs="Arial"/>
          <w:sz w:val="24"/>
          <w:szCs w:val="24"/>
          <w:lang w:val="en-US"/>
        </w:rPr>
        <w:fldChar w:fldCharType="separate"/>
      </w:r>
      <w:r w:rsidRPr="00C926EC">
        <w:rPr>
          <w:rFonts w:ascii="Arial" w:hAnsi="Arial" w:cs="Arial"/>
          <w:noProof/>
          <w:sz w:val="24"/>
          <w:szCs w:val="24"/>
          <w:lang w:val="en-US"/>
        </w:rPr>
        <w:t>(Judith González-Arias et al., 2020)</w:t>
      </w:r>
      <w:r w:rsidRPr="00C926EC">
        <w:rPr>
          <w:rFonts w:ascii="Arial" w:hAnsi="Arial" w:cs="Arial"/>
          <w:sz w:val="24"/>
          <w:szCs w:val="24"/>
          <w:lang w:val="en-US"/>
        </w:rPr>
        <w:fldChar w:fldCharType="end"/>
      </w:r>
      <w:r w:rsidRPr="00C926EC">
        <w:rPr>
          <w:rFonts w:ascii="Arial" w:hAnsi="Arial" w:cs="Arial"/>
          <w:sz w:val="24"/>
          <w:szCs w:val="24"/>
          <w:lang w:val="en-US"/>
        </w:rPr>
        <w:t xml:space="preserve">. Additionally, some technical reports have stated that the use of biomethane not only allows the </w:t>
      </w:r>
      <w:r w:rsidRPr="00C926EC">
        <w:rPr>
          <w:rFonts w:ascii="Arial" w:hAnsi="Arial" w:cs="Arial"/>
          <w:sz w:val="24"/>
          <w:szCs w:val="24"/>
          <w:lang w:val="en-US"/>
        </w:rPr>
        <w:lastRenderedPageBreak/>
        <w:t xml:space="preserve">reduction of GHG emissions compared to other fuels like diesel, but also the environmental impact of biomethane can become negative if external biogas production results are included in the analysis </w:t>
      </w:r>
      <w:r w:rsidRPr="00C926EC">
        <w:rPr>
          <w:rFonts w:ascii="Arial" w:hAnsi="Arial" w:cs="Arial"/>
          <w:sz w:val="24"/>
          <w:szCs w:val="24"/>
          <w:lang w:val="en-US"/>
        </w:rPr>
        <w:fldChar w:fldCharType="begin" w:fldLock="1"/>
      </w:r>
      <w:r w:rsidRPr="00C926EC">
        <w:rPr>
          <w:rFonts w:ascii="Arial" w:hAnsi="Arial" w:cs="Arial"/>
          <w:sz w:val="24"/>
          <w:szCs w:val="24"/>
          <w:lang w:val="en-US"/>
        </w:rPr>
        <w:instrText>ADDIN CSL_CITATION {"citationItems":[{"id":"ITEM-1","itemData":{"DOI":"10.1016/j.jclepro.2020.123535","ISSN":"09596526","abstract":"Looking to reduce climate change impact and particle emissions, the heavy-duty transport sector is moving towards a growth within technology and infrastructure for use of liquefied natural gas (LNG). This opens an opportunity for the biogas market to grow as well, especially in the form of liquefied biomethane (LBM). However, there is a need to investigate the economic conditions and the possible environmental benefits of using LBM rather than LNG or diesel in heavy transports. This study presents a comparison of well-to-wheel scenarios for production, distribution and use of LBM, LNG and diesel, assessing both environmental and economic aspects in a life cycle perspective. The results show that while LNG can increase the climate change impact compared to diesel by up to 10%, LBM can greatly reduce the environmental impact compared to both LNG and diesel. With a German electricity mix, the climate change impact can be reduced by 45–70% compared to diesel with LBM from manure, and by 50–75% with LBM from food waste. If digestate is used to replace mineral fertilizer, the impact of LBM can even be less than 0. However, the results vary a lot depending on the type of feedstock, the electricity system and whether the calculations are done according to RED or ISO guidelines. Economically, it can be hard for LBM to compete with LNG, due to relatively high production costs, and some form of economic incentives are likely required.","author":[{"dropping-particle":"","family":"Gustafsson","given":"Marcus","non-dropping-particle":"","parse-names":false,"suffix":""},{"dropping-particle":"","family":"Svensson","given":"Niclas","non-dropping-particle":"","parse-names":false,"suffix":""}],"container-title":"Journal of Cleaner Production","id":"ITEM-1","issued":{"date-parts":[["2021","1"]]},"page":"123535","publisher":"Elsevier Ltd","title":"Cleaner heavy transports – Environmental and economic analysis of liquefied natural gas and biomethane","type":"article-journal","volume":"278"},"uris":["http://www.mendeley.com/documents/?uuid=6f5ec3e2-ce74-35ff-a595-32b1979e5294","http://www.mendeley.com/documents/?uuid=b2ab598f-acf9-4a22-bab5-a05653116785"]},{"id":"ITEM-2","itemData":{"author":[{"dropping-particle":"","family":"EBA","given":"","non-dropping-particle":"","parse-names":false,"suffix":""}],"id":"ITEM-2","issued":{"date-parts":[["2020"]]},"publisher-place":"Brussels, Belgium","title":"The contribution of the biogas and biomethane industries to medium-term greenhouse gas reduction targets and climate-neutrality by 2050","type":"report"},"uris":["http://www.mendeley.com/documents/?uuid=61db1fc6-4838-46e8-b706-522171f7097b"]},{"id":"ITEM-3","itemData":{"author":[{"dropping-particle":"","family":"Majer","given":"Stefan","non-dropping-particle":"","parse-names":false,"suffix":""},{"dropping-particle":"","family":"Oehmichen","given":"Katja","non-dropping-particle":"","parse-names":false,"suffix":""},{"dropping-particle":"","family":"Kirchmeyr","given":"Franz","non-dropping-particle":"","parse-names":false,"suffix":""},{"dropping-particle":"","family":"Scheidl","given":"Stefanie","non-dropping-particle":"","parse-names":false,"suffix":""}],"id":"ITEM-3","issued":{"date-parts":[["2015"]]},"title":"Methodology for the calculation and certification of GHG emission caused by the production of biomethane","type":"report"},"uris":["http://www.mendeley.com/documents/?uuid=7f3d0198-54dd-4ef1-b7e0-d31f3459009f"]},{"id":"ITEM-4","itemData":{"DOI":"10.2790/27486","author":[{"dropping-particle":"","family":"Giuntoli","given":"J","non-dropping-particle":"","parse-names":false,"suffix":""},{"dropping-particle":"","family":"Agostini","given":"A","non-dropping-particle":"","parse-names":false,"suffix":""},{"dropping-particle":"","family":"Edwards","given":"R","non-dropping-particle":"","parse-names":false,"suffix":""},{"dropping-particle":"","family":"Marelli","given":"L","non-dropping-particle":"","parse-names":false,"suffix":""}],"id":"ITEM-4","issued":{"date-parts":[["2017"]]},"title":"Solid and gaseous bioenergy pathways: input values and GHG emissions","type":"report"},"uris":["http://www.mendeley.com/documents/?uuid=f60647e9-ea0a-4cd2-897b-8b6da0cb6486"]},{"id":"ITEM-5","itemData":{"DOI":"10.3390/SU12103994","abstract":"Increasing demand of fossil-free fuels in the transport sector drives towards using new biomass sources in fuel production. Municipal waste as a substrate is used in many countries in biomethane production, but the amount of waste can cover only a small portion of the fuel used. In Europe, the new renewable energy directive (RED II) was established December 2018 to ensure the sustainability of renewable fuels. The directive includes typical and default greenhouse gas (GHG) emissions for several potential substrates, such as biogas from manure or maize silage, which the biogas plants can use to verify their emissions directly or to calculate their emissions using the methods provided. However, such default value for grass silage as biogas substrate is lacking. We defined the conditions needed to fulfil the sustainability criteria of the directive when producing biomethane for vehicle fuel using grass silage as the feedstock in Finland. The emission reduction targets are not easy to achieve in Finland when using grass cultivated exclusively for energy production. The reduction targets can be achieved, however, if the grass is cultivated due to an improved crop rotation, where the grass is co-digested with manure and/or energy sources with zero emissions for the process can be applied.","author":[{"dropping-particle":"","family":"Rasi","given":"Saija","non-dropping-particle":"","parse-names":false,"suffix":""},{"dropping-particle":"","family":"Timonen","given":"Karetta","non-dropping-particle":"","parse-names":false,"suffix":""},{"dropping-particle":"","family":"Joensuu","given":"Katri","non-dropping-particle":"","parse-names":false,"suffix":""},{"dropping-particle":"","family":"Regina","given":"Kristiina","non</w:instrText>
      </w:r>
      <w:r w:rsidRPr="00C926EC">
        <w:rPr>
          <w:rFonts w:ascii="Arial" w:hAnsi="Arial" w:cs="Arial"/>
          <w:sz w:val="24"/>
          <w:szCs w:val="24"/>
        </w:rPr>
        <w:instrText>-dropping-particle":"","parse-names":false,"suffix":""},{"dropping-particle":"","family":"Virkajärvi","given":"Perttu","non-dropping-particle":"","parse-names":false,"suffix":""},{"dropping-particle":"","family":"Heusala","given":"Hannele","non-dropping-particle":"","parse-names":false,"suffix":""},{"dropping-particle":"","family":"Tampio","given":"Elina","non-dropping-particle":"","parse-names":false,"suffix":""},{"dropping-particle":"","family":"Luostarinen","given":"Sari","non-dropping-particle":"","parse-names":false,"suffix":""}],"container-title":"Sustainability 2020, Vol. 12, Page 3994","id":"ITEM-5","issue":"10","issued":{"date-parts":[["2020","5","13"]]},"page":"3994","publisher":"Multidisciplinary Digital Publishing Institute","title":"Sustainability of Vehicle Fuel Biomethane Produced from Grass Silage in Finland","type":"article-journal","volume":"12"},"uris":["http://www.mendeley.com/documents/?uuid=08306b08-04bc-3c76-9ae4-a1b5b0724ea3"]}],"mendeley":{"formattedCitation":"(EBA, 2020; Giuntoli et al., 2017; Gustafsson and Svensson, 2021; Majer et al., 2015; Rasi et al., 2020)","plainTextFormattedCitation":"(EBA, 2020; Giuntoli et al., 2017; Gustafsson and Svensson, 2021; Majer et al., 2015; Rasi et al., 2020)","previouslyFormattedCitation":"(EBA, 2020; Giuntoli et al., 2017; Gustafsson and Svensson, 2021; Majer et al., 2015; Rasi et al., 2020)"},"properties":{"noteIndex":0},"schema":"https://github.com/citation-style-language/schema/raw/master/csl-citation.json"}</w:instrText>
      </w:r>
      <w:r w:rsidRPr="00C926EC">
        <w:rPr>
          <w:rFonts w:ascii="Arial" w:hAnsi="Arial" w:cs="Arial"/>
          <w:sz w:val="24"/>
          <w:szCs w:val="24"/>
          <w:lang w:val="en-US"/>
        </w:rPr>
        <w:fldChar w:fldCharType="separate"/>
      </w:r>
      <w:r w:rsidRPr="00C926EC">
        <w:rPr>
          <w:rFonts w:ascii="Arial" w:hAnsi="Arial" w:cs="Arial"/>
          <w:noProof/>
          <w:sz w:val="24"/>
          <w:szCs w:val="24"/>
        </w:rPr>
        <w:t>(EBA, 2020; Giuntoli et al., 2017; Gustafsson and Svensson, 2021; Majer et al., 2015; Rasi et al., 2020)</w:t>
      </w:r>
      <w:r w:rsidRPr="00C926EC">
        <w:rPr>
          <w:rFonts w:ascii="Arial" w:hAnsi="Arial" w:cs="Arial"/>
          <w:sz w:val="24"/>
          <w:szCs w:val="24"/>
          <w:lang w:val="en-US"/>
        </w:rPr>
        <w:fldChar w:fldCharType="end"/>
      </w:r>
      <w:r w:rsidRPr="00C926EC">
        <w:rPr>
          <w:rFonts w:ascii="Arial" w:hAnsi="Arial" w:cs="Arial"/>
          <w:sz w:val="24"/>
          <w:szCs w:val="24"/>
        </w:rPr>
        <w:t>.</w:t>
      </w:r>
    </w:p>
    <w:p w14:paraId="6166F727" w14:textId="77777777" w:rsidR="006F3583" w:rsidRPr="00C926EC" w:rsidRDefault="006F3583" w:rsidP="006F3583">
      <w:pPr>
        <w:spacing w:line="480" w:lineRule="auto"/>
        <w:jc w:val="both"/>
        <w:rPr>
          <w:rFonts w:ascii="Arial" w:hAnsi="Arial" w:cs="Arial"/>
          <w:sz w:val="24"/>
          <w:szCs w:val="24"/>
          <w:lang w:val="en-US"/>
        </w:rPr>
      </w:pPr>
      <w:r w:rsidRPr="00C926EC">
        <w:rPr>
          <w:rFonts w:ascii="Arial" w:hAnsi="Arial" w:cs="Arial"/>
          <w:sz w:val="24"/>
          <w:szCs w:val="24"/>
          <w:lang w:val="en-US"/>
        </w:rPr>
        <w:t>Back to process’ economy and hence its potential to be implemented in a circular economy societal model, biogas upgrading to biomethane entails extra costs in comparison with the direct utilization of biogas, for example, in a combined heat and power (CHP) unit. Nonetheless, the upgrading strategy is beneficial from a circular economy perspective as its utilization has the potential not only for reducing imports of natural gas and CO</w:t>
      </w:r>
      <w:r w:rsidRPr="00C926EC">
        <w:rPr>
          <w:rFonts w:ascii="Arial" w:hAnsi="Arial" w:cs="Arial"/>
          <w:sz w:val="24"/>
          <w:szCs w:val="24"/>
          <w:vertAlign w:val="subscript"/>
          <w:lang w:val="en-US"/>
        </w:rPr>
        <w:t>2</w:t>
      </w:r>
      <w:r w:rsidRPr="00C926EC">
        <w:rPr>
          <w:rFonts w:ascii="Arial" w:hAnsi="Arial" w:cs="Arial"/>
          <w:sz w:val="24"/>
          <w:szCs w:val="24"/>
          <w:lang w:val="en-US"/>
        </w:rPr>
        <w:t xml:space="preserve"> emissions, but also for boosting the consumption of local renewable resources </w:t>
      </w:r>
      <w:r w:rsidRPr="00C926EC">
        <w:rPr>
          <w:rFonts w:ascii="Arial" w:hAnsi="Arial" w:cs="Arial"/>
          <w:sz w:val="24"/>
          <w:szCs w:val="24"/>
          <w:lang w:val="en-US"/>
        </w:rPr>
        <w:fldChar w:fldCharType="begin" w:fldLock="1"/>
      </w:r>
      <w:r w:rsidRPr="00C926EC">
        <w:rPr>
          <w:rFonts w:ascii="Arial" w:hAnsi="Arial" w:cs="Arial"/>
          <w:sz w:val="24"/>
          <w:szCs w:val="24"/>
          <w:lang w:val="en-US"/>
        </w:rPr>
        <w:instrText>ADDIN CSL_CITATION {"citationItems":[{"id":"ITEM-1","itemData":{"DOI":"10.1016/j.wasman.2015.01.001","ISSN":"18792456","PMID":"25655352","abstract":"Biogas is rich in methane and can be further purified through biogas upgrading technologies, presenting a viable alternative to natural gas. Landfills and anaerobic digestors treating municipal solid waste are a large source of such biogas. They therefore offer an attractive opportunity to tap into this potential source of natural gas while at the same time minimizing the global warming impact resulting from methane emissions in waste management schemes (WMS) and fossil fuel consumption reduction. This study looks at the current municipal solid waste flows of Spain, Italy, and Austria over one year (2009), in order to determine how much biogas is generated. Then it examines how much natural gas could be substituted by using four different biogas upgrading technologies. Based on current waste generation rates, exploratory but realistic WMS were created for each country in order to maximize biogas production and potential for natural gas substitution. It was found that the potential substitution of natural gas by biogas resulting from the current WMS seems rather insignificant: 0.2% for Austria, 0.6% for Italy and 0.3% for Spain. However, if the WMS is redesigned to maximize biogas production, these figures can increase to 0.7% for Austria, 1% for Italy and 2% for Spain. Furthermore, the potential CO2 reduction as a consequence of capturing the biogas and replacing fossil fuel can result in up to a 93% reduction of the annual national waste greenhouse gas emissions of Spain and Italy.","author":[{"dropping-particle":"","family":"Starr","given":"Katherine","non-dropping-particle":"","parse-names":false,"suffix":""},{"dropping-particle":"","family":"Villalba","given":"Gara","non-dropping-particle":"","parse-names":false,"suffix":""},{"dropping-particle":"","family":"Gabarrell","given":"Xavier","non-dropping-particle":"","parse-names":false,"suffix":""}],"container-title":"Waste Management","id":"ITEM-1","issued":{"date-parts":[["2015"]]},"title":"Upgraded biogas from municipal solid waste for natural gas substitution and CO2 reduction - A case study of Austria, Italy, and Spain","type":"article-journal"},"uris":["http://www.mendeley.com/documents/?uuid=c4834e62-9bdb-4a49-ab7b-97c2efc4d5ee","http://www.mendeley.com/documents/?uuid=cd36c239-0fe9-4270-985f-d9fff6c4fe28"]}],"mendeley":{"formattedCitation":"(Starr et al., 2015)","plainTextFormattedCitation":"(Starr et al., 2015)","previouslyFormattedCitation":"(Starr et al., 2015)"},"properties":{"noteIndex":0},"schema":"https://github.com/citation-style-language/schema/raw/master/csl-citation.json"}</w:instrText>
      </w:r>
      <w:r w:rsidRPr="00C926EC">
        <w:rPr>
          <w:rFonts w:ascii="Arial" w:hAnsi="Arial" w:cs="Arial"/>
          <w:sz w:val="24"/>
          <w:szCs w:val="24"/>
          <w:lang w:val="en-US"/>
        </w:rPr>
        <w:fldChar w:fldCharType="separate"/>
      </w:r>
      <w:r w:rsidRPr="00C926EC">
        <w:rPr>
          <w:rFonts w:ascii="Arial" w:hAnsi="Arial" w:cs="Arial"/>
          <w:noProof/>
          <w:sz w:val="24"/>
          <w:szCs w:val="24"/>
          <w:lang w:val="en-US"/>
        </w:rPr>
        <w:t>(Starr et al., 2015)</w:t>
      </w:r>
      <w:r w:rsidRPr="00C926EC">
        <w:rPr>
          <w:rFonts w:ascii="Arial" w:hAnsi="Arial" w:cs="Arial"/>
          <w:sz w:val="24"/>
          <w:szCs w:val="24"/>
          <w:lang w:val="en-US"/>
        </w:rPr>
        <w:fldChar w:fldCharType="end"/>
      </w:r>
      <w:r w:rsidRPr="00C926EC">
        <w:rPr>
          <w:rFonts w:ascii="Arial" w:hAnsi="Arial" w:cs="Arial"/>
          <w:sz w:val="24"/>
          <w:szCs w:val="24"/>
          <w:lang w:val="en-US"/>
        </w:rPr>
        <w:t xml:space="preserve">. As a matter of fact, the number of biomethane plants in Europe has seen an increase of 51% (from 483 to 729) in the period from 2018 to 2020, revealing increased interest on biomethane production </w:t>
      </w:r>
      <w:r w:rsidRPr="00C926EC">
        <w:rPr>
          <w:rFonts w:ascii="Arial" w:hAnsi="Arial" w:cs="Arial"/>
          <w:sz w:val="24"/>
          <w:szCs w:val="24"/>
          <w:lang w:val="en-US"/>
        </w:rPr>
        <w:fldChar w:fldCharType="begin" w:fldLock="1"/>
      </w:r>
      <w:r w:rsidRPr="00C926EC">
        <w:rPr>
          <w:rFonts w:ascii="Arial" w:hAnsi="Arial" w:cs="Arial"/>
          <w:sz w:val="24"/>
          <w:szCs w:val="24"/>
          <w:lang w:val="en-US"/>
        </w:rPr>
        <w:instrText>ADDIN CSL_CITATION {"citationItems":[{"id":"ITEM-1","itemData":{"URL":"https://www.europeanbiogas.eu/the-european-biomethane-map-2020-shows-a-51-increase-of-biomethane-plants-in-europe-in-two-years/","author":[{"dropping-particle":"","family":"European Biogas Association","given":"","non-dropping-particle":"","parse-names":false,"suffix":""}],"id":"ITEM-1","issued":{"date-parts":[["2021"]]},"title":"European Biomethane Map 2020","type":"webpage"},"uris":["http://www.mendeley.com/documents/?uuid=de0eff57-f7ec-4142-87d7-6b73491a2249","http://www.mendeley.com/documents/?uuid=9e2e0135-f98c-412f-a9a0-189ede97c8dc"]}],"mendeley":{"formattedCitation":"(European Biogas Association, 2021)","plainTextFormattedCitation":"(European Biogas Association, 2021)","previouslyFormattedCitation":"(European Biogas Association, 2021)"},"properties":{"noteIndex":0},"schema":"https://github.com/citation-style-language/schema/raw/master/csl-citation.json"}</w:instrText>
      </w:r>
      <w:r w:rsidRPr="00C926EC">
        <w:rPr>
          <w:rFonts w:ascii="Arial" w:hAnsi="Arial" w:cs="Arial"/>
          <w:sz w:val="24"/>
          <w:szCs w:val="24"/>
          <w:lang w:val="en-US"/>
        </w:rPr>
        <w:fldChar w:fldCharType="separate"/>
      </w:r>
      <w:r w:rsidRPr="00C926EC">
        <w:rPr>
          <w:rFonts w:ascii="Arial" w:hAnsi="Arial" w:cs="Arial"/>
          <w:noProof/>
          <w:sz w:val="24"/>
          <w:szCs w:val="24"/>
          <w:lang w:val="en-US"/>
        </w:rPr>
        <w:t>(European Biogas Association, 2021)</w:t>
      </w:r>
      <w:r w:rsidRPr="00C926EC">
        <w:rPr>
          <w:rFonts w:ascii="Arial" w:hAnsi="Arial" w:cs="Arial"/>
          <w:sz w:val="24"/>
          <w:szCs w:val="24"/>
          <w:lang w:val="en-US"/>
        </w:rPr>
        <w:fldChar w:fldCharType="end"/>
      </w:r>
      <w:r w:rsidRPr="00C926EC">
        <w:rPr>
          <w:rFonts w:ascii="Arial" w:hAnsi="Arial" w:cs="Arial"/>
          <w:sz w:val="24"/>
          <w:szCs w:val="24"/>
          <w:lang w:val="en-US"/>
        </w:rPr>
        <w:t xml:space="preserve">. Among the European countries with more biomethane plants are Germany, </w:t>
      </w:r>
      <w:proofErr w:type="gramStart"/>
      <w:r w:rsidRPr="00C926EC">
        <w:rPr>
          <w:rFonts w:ascii="Arial" w:hAnsi="Arial" w:cs="Arial"/>
          <w:sz w:val="24"/>
          <w:szCs w:val="24"/>
          <w:lang w:val="en-US"/>
        </w:rPr>
        <w:t>France</w:t>
      </w:r>
      <w:proofErr w:type="gramEnd"/>
      <w:r w:rsidRPr="00C926EC">
        <w:rPr>
          <w:rFonts w:ascii="Arial" w:hAnsi="Arial" w:cs="Arial"/>
          <w:sz w:val="24"/>
          <w:szCs w:val="24"/>
          <w:lang w:val="en-US"/>
        </w:rPr>
        <w:t xml:space="preserve"> and the United Kingdom. Within the many potential applications of biomethane, a particular alternative is to use biomethane as renewable fuel for light shipping. Indeed, the United Kingdom has already launched a “Clean Maritime Plan” for 2050, aiming at the ambitious target of zero emission shipping to be commonplace globally </w:t>
      </w:r>
      <w:r w:rsidRPr="00C926EC">
        <w:rPr>
          <w:rFonts w:ascii="Arial" w:hAnsi="Arial" w:cs="Arial"/>
          <w:sz w:val="24"/>
          <w:szCs w:val="24"/>
          <w:lang w:val="en-US"/>
        </w:rPr>
        <w:fldChar w:fldCharType="begin" w:fldLock="1"/>
      </w:r>
      <w:r w:rsidRPr="00C926EC">
        <w:rPr>
          <w:rFonts w:ascii="Arial" w:hAnsi="Arial" w:cs="Arial"/>
          <w:sz w:val="24"/>
          <w:szCs w:val="24"/>
          <w:lang w:val="en-US"/>
        </w:rPr>
        <w:instrText>ADDIN CSL_CITATION {"citationItems":[{"id":"ITEM-1","itemData":{"author":[{"dropping-particle":"","family":"UK Governement","given":"","non-dropping-particle":"","parse-names":false,"suffix":""}],"id":"ITEM-1","issued":{"date-parts":[["2019"]]},"publisher-place":"London","title":"Clean Maritime Plan","type":"report"},"uris":["http://www.mendeley.com/documents/?uuid=40cb3e7a-80a5-492e-95f8-584d90a0e9ac","http://www.mendeley.com/documents/?uuid=d7fbd829-f9ad-46f3-a1b2-97d2495420a8"]}],"mendeley":{"formattedCitation":"(UK Governement, 2019)","manualFormatting":"(UK Government, 2019)","plainTextFormattedCitation":"(UK Governement, 2019)","previouslyFormattedCitation":"(UK Governement, 2019)"},"properties":{"noteIndex":0},"schema":"https://github.com/citation-style-language/schema/raw/master/csl-citation.json"}</w:instrText>
      </w:r>
      <w:r w:rsidRPr="00C926EC">
        <w:rPr>
          <w:rFonts w:ascii="Arial" w:hAnsi="Arial" w:cs="Arial"/>
          <w:sz w:val="24"/>
          <w:szCs w:val="24"/>
          <w:lang w:val="en-US"/>
        </w:rPr>
        <w:fldChar w:fldCharType="separate"/>
      </w:r>
      <w:r w:rsidRPr="00C926EC">
        <w:rPr>
          <w:rFonts w:ascii="Arial" w:hAnsi="Arial" w:cs="Arial"/>
          <w:noProof/>
          <w:sz w:val="24"/>
          <w:szCs w:val="24"/>
          <w:lang w:val="en-US"/>
        </w:rPr>
        <w:t>(UK Government, 2019)</w:t>
      </w:r>
      <w:r w:rsidRPr="00C926EC">
        <w:rPr>
          <w:rFonts w:ascii="Arial" w:hAnsi="Arial" w:cs="Arial"/>
          <w:sz w:val="24"/>
          <w:szCs w:val="24"/>
          <w:lang w:val="en-US"/>
        </w:rPr>
        <w:fldChar w:fldCharType="end"/>
      </w:r>
      <w:r w:rsidRPr="00C926EC">
        <w:rPr>
          <w:rFonts w:ascii="Arial" w:hAnsi="Arial" w:cs="Arial"/>
          <w:sz w:val="24"/>
          <w:szCs w:val="24"/>
          <w:lang w:val="en-US"/>
        </w:rPr>
        <w:t>. In this vein, the utilization of biomethane as renewable fuel for light shipping can help to reduce CO</w:t>
      </w:r>
      <w:r w:rsidRPr="00C926EC">
        <w:rPr>
          <w:rFonts w:ascii="Arial" w:hAnsi="Arial" w:cs="Arial"/>
          <w:sz w:val="24"/>
          <w:szCs w:val="24"/>
          <w:vertAlign w:val="subscript"/>
          <w:lang w:val="en-US"/>
        </w:rPr>
        <w:t>2</w:t>
      </w:r>
      <w:r w:rsidRPr="00C926EC">
        <w:rPr>
          <w:rFonts w:ascii="Arial" w:hAnsi="Arial" w:cs="Arial"/>
          <w:sz w:val="24"/>
          <w:szCs w:val="24"/>
          <w:lang w:val="en-US"/>
        </w:rPr>
        <w:t xml:space="preserve"> emissions in the marine transport sector. This fact is extremely important to establish a sustainable and circular marine transport model.</w:t>
      </w:r>
    </w:p>
    <w:p w14:paraId="46248CED" w14:textId="64DDDF8E" w:rsidR="006F3583" w:rsidRPr="00C926EC" w:rsidRDefault="006F3583" w:rsidP="006F3583">
      <w:pPr>
        <w:spacing w:line="480" w:lineRule="auto"/>
        <w:jc w:val="both"/>
        <w:rPr>
          <w:rFonts w:ascii="Arial" w:hAnsi="Arial" w:cs="Arial"/>
          <w:sz w:val="24"/>
          <w:szCs w:val="24"/>
          <w:lang w:val="en-US"/>
        </w:rPr>
      </w:pPr>
      <w:r w:rsidRPr="00C926EC">
        <w:rPr>
          <w:rFonts w:ascii="Arial" w:hAnsi="Arial" w:cs="Arial"/>
          <w:sz w:val="24"/>
          <w:szCs w:val="24"/>
          <w:lang w:val="en-US"/>
        </w:rPr>
        <w:t xml:space="preserve">In this work, we perform a profitability analysis to examine the economic viability of using biomethane locally produced from existing biogas plants as renewable </w:t>
      </w:r>
      <w:r w:rsidRPr="00C926EC">
        <w:rPr>
          <w:rFonts w:ascii="Arial" w:hAnsi="Arial" w:cs="Arial"/>
          <w:sz w:val="24"/>
          <w:szCs w:val="24"/>
          <w:lang w:val="en-US"/>
        </w:rPr>
        <w:lastRenderedPageBreak/>
        <w:t xml:space="preserve">fuel for light marine transport. To the best of the authors’ knowledge, this is the very first study dealing with the techno-economic viability of locally produced biomethane as fuel for shipping. As a real case study for the analysis, we chose Cornwall (United Kingdom). The reasons for selecting this location are explained below. First, Cornwall </w:t>
      </w:r>
      <w:proofErr w:type="gramStart"/>
      <w:r w:rsidRPr="00C926EC">
        <w:rPr>
          <w:rFonts w:ascii="Arial" w:hAnsi="Arial" w:cs="Arial"/>
          <w:sz w:val="24"/>
          <w:szCs w:val="24"/>
          <w:lang w:val="en-US"/>
        </w:rPr>
        <w:t>is located in</w:t>
      </w:r>
      <w:proofErr w:type="gramEnd"/>
      <w:r w:rsidRPr="00C926EC">
        <w:rPr>
          <w:rFonts w:ascii="Arial" w:hAnsi="Arial" w:cs="Arial"/>
          <w:sz w:val="24"/>
          <w:szCs w:val="24"/>
          <w:lang w:val="en-US"/>
        </w:rPr>
        <w:t xml:space="preserve"> South West England, bordered to the north and west by the Celtic Sea and to the south by the English Channel. As it is surrounded by many different seas, small harbors are frequent in this region. In these ports there is a predominance of small ships, either for recreation or goods transport purposes. Some examples are Port Isaac or Port Gaverne. Second, there are three main biogas production plants in Cornwall, which are Great Brynn Barton Farm, Sharps Brewery and Pengelly Barton AD </w:t>
      </w:r>
      <w:r w:rsidRPr="00C926EC">
        <w:rPr>
          <w:rFonts w:ascii="Arial" w:hAnsi="Arial" w:cs="Arial"/>
          <w:sz w:val="24"/>
          <w:szCs w:val="24"/>
          <w:lang w:val="en-US"/>
        </w:rPr>
        <w:fldChar w:fldCharType="begin" w:fldLock="1"/>
      </w:r>
      <w:r w:rsidRPr="00C926EC">
        <w:rPr>
          <w:rFonts w:ascii="Arial" w:hAnsi="Arial" w:cs="Arial"/>
          <w:sz w:val="24"/>
          <w:szCs w:val="24"/>
          <w:lang w:val="en-US"/>
        </w:rPr>
        <w:instrText>ADDIN CSL_CITATION {"citationItems":[{"id":"ITEM-1","itemData":{"author":[{"dropping-particle":"","family":"NNFCC","given":"","non-dropping-particle":"","parse-names":false,"suffix":""}],"id":"ITEM-1","issued":{"date-parts":[["2020"]]},"title":"The Official Information Portal on Anaerobic Digestion","type":"thesis"},"uris":["http://www.mendeley.com/documents/?uuid=89995c35-11f0-403e-b81a-443f77661b70","http://www.mendeley.com/documents/?uuid=24edc3bb-4cbb-41f9-baaf-dc457eb86e04"]}],"mendeley":{"formattedCitation":"(NNFCC, 2020)","plainTextFormattedCitation":"(NNFCC, 2020)","previouslyFormattedCitation":"(NNFCC, 2020)"},"properties":{"noteIndex":0},"schema":"https://github.com/citation-style-language/schema/raw/master/csl-citation.json"}</w:instrText>
      </w:r>
      <w:r w:rsidRPr="00C926EC">
        <w:rPr>
          <w:rFonts w:ascii="Arial" w:hAnsi="Arial" w:cs="Arial"/>
          <w:sz w:val="24"/>
          <w:szCs w:val="24"/>
          <w:lang w:val="en-US"/>
        </w:rPr>
        <w:fldChar w:fldCharType="separate"/>
      </w:r>
      <w:r w:rsidRPr="00C926EC">
        <w:rPr>
          <w:rFonts w:ascii="Arial" w:hAnsi="Arial" w:cs="Arial"/>
          <w:noProof/>
          <w:sz w:val="24"/>
          <w:szCs w:val="24"/>
          <w:lang w:val="en-US"/>
        </w:rPr>
        <w:t>(NNFCC, 2020)</w:t>
      </w:r>
      <w:r w:rsidRPr="00C926EC">
        <w:rPr>
          <w:rFonts w:ascii="Arial" w:hAnsi="Arial" w:cs="Arial"/>
          <w:sz w:val="24"/>
          <w:szCs w:val="24"/>
          <w:lang w:val="en-US"/>
        </w:rPr>
        <w:fldChar w:fldCharType="end"/>
      </w:r>
      <w:r w:rsidRPr="00C926EC">
        <w:rPr>
          <w:rFonts w:ascii="Arial" w:hAnsi="Arial" w:cs="Arial"/>
          <w:sz w:val="24"/>
          <w:szCs w:val="24"/>
          <w:lang w:val="en-US"/>
        </w:rPr>
        <w:t>. Currently, the biogas produced in these facilities is sent to a CHP to produce both heat and electricity. Therefore, the upgrading to biomethane does not exist in this region and hence</w:t>
      </w:r>
      <w:r w:rsidR="00E83FF6" w:rsidRPr="00C926EC">
        <w:rPr>
          <w:rFonts w:ascii="Arial" w:hAnsi="Arial" w:cs="Arial"/>
          <w:sz w:val="24"/>
          <w:szCs w:val="24"/>
          <w:lang w:val="en-US"/>
        </w:rPr>
        <w:t>,</w:t>
      </w:r>
      <w:r w:rsidRPr="00C926EC">
        <w:rPr>
          <w:rFonts w:ascii="Arial" w:hAnsi="Arial" w:cs="Arial"/>
          <w:sz w:val="24"/>
          <w:szCs w:val="24"/>
          <w:lang w:val="en-US"/>
        </w:rPr>
        <w:t xml:space="preserve"> there is room to analyze the economic viability of our proposal. Figure 1 represents a conceptual scheme of our approach. As indicated in the figure, biogas must be first upgraded to biomethane and then transported to the nearest point of natural gas distribution to its further supply for shipping fuel. Therefore, two stages need to be included in the profitability analysis</w:t>
      </w:r>
      <w:r w:rsidR="00E83FF6" w:rsidRPr="00C926EC">
        <w:rPr>
          <w:rFonts w:ascii="Arial" w:hAnsi="Arial" w:cs="Arial"/>
          <w:sz w:val="24"/>
          <w:szCs w:val="24"/>
          <w:lang w:val="en-US"/>
        </w:rPr>
        <w:t>,</w:t>
      </w:r>
      <w:r w:rsidRPr="00C926EC">
        <w:rPr>
          <w:rFonts w:ascii="Arial" w:hAnsi="Arial" w:cs="Arial"/>
          <w:sz w:val="24"/>
          <w:szCs w:val="24"/>
          <w:lang w:val="en-US"/>
        </w:rPr>
        <w:t xml:space="preserve"> namely the upgrading step and the transportation to the final consumer. Technologically, biogas upgrading is the most difficult step in this approach. Many techniques have been commercially developed during the last years, being membrane biogas upgrading</w:t>
      </w:r>
      <w:r w:rsidR="009F1FBA" w:rsidRPr="00C926EC">
        <w:rPr>
          <w:rFonts w:ascii="Arial" w:hAnsi="Arial" w:cs="Arial"/>
          <w:sz w:val="24"/>
          <w:szCs w:val="24"/>
          <w:lang w:val="en-US"/>
        </w:rPr>
        <w:t>,</w:t>
      </w:r>
      <w:r w:rsidRPr="00C926EC">
        <w:rPr>
          <w:rFonts w:ascii="Arial" w:hAnsi="Arial" w:cs="Arial"/>
          <w:sz w:val="24"/>
          <w:szCs w:val="24"/>
          <w:lang w:val="en-US"/>
        </w:rPr>
        <w:t xml:space="preserve"> the most promising alternative. </w:t>
      </w:r>
    </w:p>
    <w:p w14:paraId="15F74761" w14:textId="248AFBF6" w:rsidR="003E7920" w:rsidRPr="00C926EC" w:rsidRDefault="003E7920" w:rsidP="003E7920">
      <w:pPr>
        <w:spacing w:line="480" w:lineRule="auto"/>
        <w:jc w:val="both"/>
        <w:rPr>
          <w:rFonts w:ascii="Arial" w:hAnsi="Arial" w:cs="Arial"/>
          <w:sz w:val="24"/>
          <w:szCs w:val="24"/>
          <w:lang w:val="en-US"/>
        </w:rPr>
      </w:pPr>
    </w:p>
    <w:p w14:paraId="6DF06C8E" w14:textId="70E88B48" w:rsidR="0021613F" w:rsidRPr="00C926EC" w:rsidRDefault="0021613F" w:rsidP="005B5379">
      <w:pPr>
        <w:spacing w:line="480" w:lineRule="auto"/>
        <w:jc w:val="center"/>
        <w:rPr>
          <w:rFonts w:ascii="Arial" w:hAnsi="Arial" w:cs="Arial"/>
          <w:sz w:val="24"/>
          <w:szCs w:val="24"/>
          <w:lang w:val="en-US"/>
        </w:rPr>
      </w:pPr>
      <w:r w:rsidRPr="00C926EC">
        <w:rPr>
          <w:rFonts w:ascii="Arial" w:hAnsi="Arial" w:cs="Arial"/>
          <w:sz w:val="24"/>
          <w:szCs w:val="24"/>
          <w:lang w:val="en-US"/>
        </w:rPr>
        <w:t xml:space="preserve">Figure 1. </w:t>
      </w:r>
      <w:r w:rsidR="00DB752B" w:rsidRPr="00C926EC">
        <w:rPr>
          <w:rFonts w:ascii="Arial" w:hAnsi="Arial" w:cs="Arial"/>
          <w:sz w:val="24"/>
          <w:szCs w:val="24"/>
          <w:lang w:val="en-US"/>
        </w:rPr>
        <w:t>Conceptual scheme</w:t>
      </w:r>
      <w:r w:rsidRPr="00C926EC">
        <w:rPr>
          <w:rFonts w:ascii="Arial" w:hAnsi="Arial" w:cs="Arial"/>
          <w:sz w:val="24"/>
          <w:szCs w:val="24"/>
          <w:lang w:val="en-US"/>
        </w:rPr>
        <w:t xml:space="preserve"> of biogas upgrading and transport to its use in </w:t>
      </w:r>
      <w:r w:rsidR="00C81737" w:rsidRPr="00C926EC">
        <w:rPr>
          <w:rFonts w:ascii="Arial" w:hAnsi="Arial" w:cs="Arial"/>
          <w:sz w:val="24"/>
          <w:szCs w:val="24"/>
          <w:lang w:val="en-US"/>
        </w:rPr>
        <w:t xml:space="preserve">light </w:t>
      </w:r>
      <w:r w:rsidR="006F3583" w:rsidRPr="00C926EC">
        <w:rPr>
          <w:rFonts w:ascii="Arial" w:hAnsi="Arial" w:cs="Arial"/>
          <w:sz w:val="24"/>
          <w:szCs w:val="24"/>
          <w:lang w:val="en-US"/>
        </w:rPr>
        <w:t>marine</w:t>
      </w:r>
      <w:r w:rsidR="00C81737" w:rsidRPr="00C926EC">
        <w:rPr>
          <w:rFonts w:ascii="Arial" w:hAnsi="Arial" w:cs="Arial"/>
          <w:sz w:val="24"/>
          <w:szCs w:val="24"/>
          <w:lang w:val="en-US"/>
        </w:rPr>
        <w:t xml:space="preserve"> transport</w:t>
      </w:r>
      <w:r w:rsidR="005B5379" w:rsidRPr="00C926EC">
        <w:rPr>
          <w:rFonts w:ascii="Arial" w:hAnsi="Arial" w:cs="Arial"/>
          <w:sz w:val="24"/>
          <w:szCs w:val="24"/>
          <w:lang w:val="en-US"/>
        </w:rPr>
        <w:t>.</w:t>
      </w:r>
    </w:p>
    <w:p w14:paraId="79E975E6" w14:textId="133444BF" w:rsidR="00B9054D" w:rsidRPr="00C926EC" w:rsidRDefault="00E74680" w:rsidP="00EB7776">
      <w:pPr>
        <w:pStyle w:val="ListParagraph"/>
        <w:numPr>
          <w:ilvl w:val="0"/>
          <w:numId w:val="1"/>
        </w:numPr>
        <w:spacing w:line="480" w:lineRule="auto"/>
        <w:ind w:left="360"/>
        <w:jc w:val="both"/>
        <w:rPr>
          <w:rFonts w:ascii="Arial" w:hAnsi="Arial" w:cs="Arial"/>
          <w:b/>
          <w:sz w:val="24"/>
          <w:szCs w:val="24"/>
          <w:lang w:val="en-US"/>
        </w:rPr>
      </w:pPr>
      <w:r w:rsidRPr="00C926EC">
        <w:rPr>
          <w:rFonts w:ascii="Arial" w:hAnsi="Arial" w:cs="Arial"/>
          <w:b/>
          <w:sz w:val="24"/>
          <w:szCs w:val="24"/>
          <w:lang w:val="en-US"/>
        </w:rPr>
        <w:lastRenderedPageBreak/>
        <w:t>Methodology</w:t>
      </w:r>
    </w:p>
    <w:p w14:paraId="573E1D1D" w14:textId="328CFFA9" w:rsidR="00E74680" w:rsidRPr="00C926EC" w:rsidRDefault="00E74680" w:rsidP="00E74680">
      <w:pPr>
        <w:pStyle w:val="ListParagraph"/>
        <w:numPr>
          <w:ilvl w:val="1"/>
          <w:numId w:val="1"/>
        </w:numPr>
        <w:spacing w:line="480" w:lineRule="auto"/>
        <w:jc w:val="both"/>
        <w:rPr>
          <w:rFonts w:ascii="Arial" w:hAnsi="Arial" w:cs="Arial"/>
          <w:b/>
          <w:sz w:val="24"/>
          <w:szCs w:val="24"/>
          <w:lang w:val="en-US"/>
        </w:rPr>
      </w:pPr>
      <w:r w:rsidRPr="00C926EC">
        <w:rPr>
          <w:rFonts w:ascii="Arial" w:hAnsi="Arial" w:cs="Arial"/>
          <w:b/>
          <w:sz w:val="24"/>
          <w:szCs w:val="24"/>
          <w:lang w:val="en-US"/>
        </w:rPr>
        <w:t xml:space="preserve">Economic </w:t>
      </w:r>
      <w:r w:rsidR="00C95304" w:rsidRPr="00C926EC">
        <w:rPr>
          <w:rFonts w:ascii="Arial" w:hAnsi="Arial" w:cs="Arial"/>
          <w:b/>
          <w:sz w:val="24"/>
          <w:szCs w:val="24"/>
          <w:lang w:val="en-US"/>
        </w:rPr>
        <w:t>valuation methodology</w:t>
      </w:r>
    </w:p>
    <w:p w14:paraId="366FD658" w14:textId="0DC2B099" w:rsidR="006F3583" w:rsidRPr="00C926EC" w:rsidRDefault="006F3583" w:rsidP="006F3583">
      <w:pPr>
        <w:spacing w:line="480" w:lineRule="auto"/>
        <w:jc w:val="both"/>
        <w:rPr>
          <w:rFonts w:ascii="Arial" w:eastAsiaTheme="minorEastAsia" w:hAnsi="Arial" w:cs="Arial"/>
          <w:sz w:val="24"/>
          <w:szCs w:val="24"/>
          <w:lang w:val="en-US"/>
        </w:rPr>
      </w:pPr>
      <w:r w:rsidRPr="00C926EC">
        <w:rPr>
          <w:rFonts w:ascii="Arial" w:hAnsi="Arial" w:cs="Arial"/>
          <w:sz w:val="24"/>
          <w:szCs w:val="24"/>
          <w:lang w:val="en-US"/>
        </w:rPr>
        <w:t xml:space="preserve">The profitability of this process was analyzed through the Discounted Cash Flow (DCF) method, considering a lifetime of 20 years. Three main indicators were used: Net Present Value (NPV), Profitability Index (PI) and Discounted Payback Time (DBPT). The equations for NPV, PI and DBPT calculations are indicated in Eq. (1), (2) and (3), respectively. </w:t>
      </w:r>
      <w:r w:rsidRPr="00C926EC">
        <w:rPr>
          <w:rFonts w:ascii="Arial" w:eastAsiaTheme="minorEastAsia" w:hAnsi="Arial" w:cs="Arial"/>
          <w:sz w:val="24"/>
          <w:szCs w:val="24"/>
          <w:lang w:val="en-US"/>
        </w:rPr>
        <w:t xml:space="preserve">In this section, </w:t>
      </w:r>
      <w:r w:rsidR="009F1FBA" w:rsidRPr="00C926EC">
        <w:rPr>
          <w:rFonts w:ascii="Arial" w:eastAsiaTheme="minorEastAsia" w:hAnsi="Arial" w:cs="Arial"/>
          <w:sz w:val="24"/>
          <w:szCs w:val="24"/>
          <w:lang w:val="en-US"/>
        </w:rPr>
        <w:t xml:space="preserve">the </w:t>
      </w:r>
      <w:r w:rsidRPr="00C926EC">
        <w:rPr>
          <w:rFonts w:ascii="Arial" w:eastAsiaTheme="minorEastAsia" w:hAnsi="Arial" w:cs="Arial"/>
          <w:sz w:val="24"/>
          <w:szCs w:val="24"/>
          <w:lang w:val="en-US"/>
        </w:rPr>
        <w:t>selected variables and how they are implemented in the economic valuation</w:t>
      </w:r>
      <w:r w:rsidR="009F1FBA" w:rsidRPr="00C926EC">
        <w:rPr>
          <w:rFonts w:ascii="Arial" w:eastAsiaTheme="minorEastAsia" w:hAnsi="Arial" w:cs="Arial"/>
          <w:sz w:val="24"/>
          <w:szCs w:val="24"/>
          <w:lang w:val="en-US"/>
        </w:rPr>
        <w:t xml:space="preserve"> are explained</w:t>
      </w:r>
      <w:r w:rsidRPr="00C926EC">
        <w:rPr>
          <w:rFonts w:ascii="Arial" w:eastAsiaTheme="minorEastAsia" w:hAnsi="Arial" w:cs="Arial"/>
          <w:sz w:val="24"/>
          <w:szCs w:val="24"/>
          <w:lang w:val="en-US"/>
        </w:rPr>
        <w:t xml:space="preserve">. The chosen values for these parameters are also discussed and justified. The general equations for </w:t>
      </w:r>
      <w:r w:rsidR="009F1FBA" w:rsidRPr="00C926EC">
        <w:rPr>
          <w:rFonts w:ascii="Arial" w:eastAsiaTheme="minorEastAsia" w:hAnsi="Arial" w:cs="Arial"/>
          <w:sz w:val="24"/>
          <w:szCs w:val="24"/>
          <w:lang w:val="en-US"/>
        </w:rPr>
        <w:t xml:space="preserve">the </w:t>
      </w:r>
      <w:r w:rsidRPr="00C926EC">
        <w:rPr>
          <w:rFonts w:ascii="Arial" w:eastAsiaTheme="minorEastAsia" w:hAnsi="Arial" w:cs="Arial"/>
          <w:sz w:val="24"/>
          <w:szCs w:val="24"/>
          <w:lang w:val="en-US"/>
        </w:rPr>
        <w:t xml:space="preserve">calculation </w:t>
      </w:r>
      <w:r w:rsidR="009F1FBA" w:rsidRPr="00C926EC">
        <w:rPr>
          <w:rFonts w:ascii="Arial" w:eastAsiaTheme="minorEastAsia" w:hAnsi="Arial" w:cs="Arial"/>
          <w:sz w:val="24"/>
          <w:szCs w:val="24"/>
          <w:lang w:val="en-US"/>
        </w:rPr>
        <w:t xml:space="preserve">of </w:t>
      </w:r>
      <w:r w:rsidRPr="00C926EC">
        <w:rPr>
          <w:rFonts w:ascii="Arial" w:eastAsiaTheme="minorEastAsia" w:hAnsi="Arial" w:cs="Arial"/>
          <w:sz w:val="24"/>
          <w:szCs w:val="24"/>
          <w:lang w:val="en-US"/>
        </w:rPr>
        <w:t xml:space="preserve">NPV, PI and DBPT are also included in this section. For sake of further clarity, a more detailed explanation along with the equations are included in Appendix 1. </w:t>
      </w:r>
      <w:r w:rsidRPr="00C926EC">
        <w:rPr>
          <w:rFonts w:ascii="Arial" w:hAnsi="Arial" w:cs="Arial"/>
          <w:sz w:val="24"/>
          <w:szCs w:val="24"/>
          <w:lang w:val="en-US"/>
        </w:rPr>
        <w:t>The main parameters needed for estimating these indicators are cash inflows (</w:t>
      </w:r>
      <m:oMath>
        <m:sSub>
          <m:sSubPr>
            <m:ctrlPr>
              <w:rPr>
                <w:rFonts w:ascii="Cambria Math" w:hAnsi="Cambria Math" w:cs="Arial"/>
                <w:sz w:val="24"/>
                <w:szCs w:val="24"/>
                <w:lang w:val="en-US"/>
              </w:rPr>
            </m:ctrlPr>
          </m:sSubPr>
          <m:e>
            <m:r>
              <m:rPr>
                <m:sty m:val="p"/>
              </m:rPr>
              <w:rPr>
                <w:rFonts w:ascii="Cambria Math" w:hAnsi="Cambria Math" w:cs="Arial"/>
                <w:sz w:val="24"/>
                <w:szCs w:val="24"/>
                <w:lang w:val="en-US"/>
              </w:rPr>
              <m:t>I</m:t>
            </m:r>
          </m:e>
          <m:sub>
            <m:r>
              <m:rPr>
                <m:sty m:val="p"/>
              </m:rPr>
              <w:rPr>
                <w:rFonts w:ascii="Cambria Math" w:hAnsi="Cambria Math" w:cs="Arial"/>
                <w:sz w:val="24"/>
                <w:szCs w:val="24"/>
                <w:lang w:val="en-US"/>
              </w:rPr>
              <m:t>t</m:t>
            </m:r>
          </m:sub>
        </m:sSub>
      </m:oMath>
      <w:r w:rsidRPr="00C926EC">
        <w:rPr>
          <w:rFonts w:ascii="Arial" w:eastAsiaTheme="minorEastAsia" w:hAnsi="Arial" w:cs="Arial"/>
          <w:sz w:val="24"/>
          <w:szCs w:val="24"/>
          <w:lang w:val="en-US"/>
        </w:rPr>
        <w:t>), cash outflows</w:t>
      </w:r>
      <w:r w:rsidRPr="00C926EC">
        <w:rPr>
          <w:rFonts w:ascii="Arial" w:hAnsi="Arial" w:cs="Arial"/>
          <w:sz w:val="24"/>
          <w:szCs w:val="24"/>
          <w:lang w:val="en-US"/>
        </w:rPr>
        <w:t xml:space="preserve"> (</w:t>
      </w:r>
      <m:oMath>
        <m:sSub>
          <m:sSubPr>
            <m:ctrlPr>
              <w:rPr>
                <w:rFonts w:ascii="Cambria Math" w:hAnsi="Cambria Math" w:cs="Arial"/>
                <w:sz w:val="24"/>
                <w:szCs w:val="24"/>
                <w:lang w:val="en-US"/>
              </w:rPr>
            </m:ctrlPr>
          </m:sSubPr>
          <m:e>
            <m:r>
              <m:rPr>
                <m:sty m:val="p"/>
              </m:rPr>
              <w:rPr>
                <w:rFonts w:ascii="Cambria Math" w:hAnsi="Cambria Math" w:cs="Arial"/>
                <w:sz w:val="24"/>
                <w:szCs w:val="24"/>
                <w:lang w:val="en-US"/>
              </w:rPr>
              <m:t>O</m:t>
            </m:r>
          </m:e>
          <m:sub>
            <m:r>
              <m:rPr>
                <m:sty m:val="p"/>
              </m:rPr>
              <w:rPr>
                <w:rFonts w:ascii="Cambria Math" w:hAnsi="Cambria Math" w:cs="Arial"/>
                <w:sz w:val="24"/>
                <w:szCs w:val="24"/>
                <w:lang w:val="en-US"/>
              </w:rPr>
              <m:t>t</m:t>
            </m:r>
          </m:sub>
        </m:sSub>
      </m:oMath>
      <w:r w:rsidRPr="00C926EC">
        <w:rPr>
          <w:rFonts w:ascii="Arial" w:eastAsiaTheme="minorEastAsia" w:hAnsi="Arial" w:cs="Arial"/>
          <w:sz w:val="24"/>
          <w:szCs w:val="24"/>
          <w:lang w:val="en-US"/>
        </w:rPr>
        <w:t>), the discount rate parameter (r</w:t>
      </w:r>
      <w:r w:rsidRPr="00C926EC">
        <w:rPr>
          <w:rFonts w:ascii="Arial" w:eastAsiaTheme="minorEastAsia" w:hAnsi="Arial" w:cs="Arial"/>
          <w:sz w:val="24"/>
          <w:szCs w:val="24"/>
          <w:vertAlign w:val="subscript"/>
          <w:lang w:val="en-US"/>
        </w:rPr>
        <w:t>d</w:t>
      </w:r>
      <w:r w:rsidRPr="00C926EC">
        <w:rPr>
          <w:rFonts w:ascii="Arial" w:eastAsiaTheme="minorEastAsia" w:hAnsi="Arial" w:cs="Arial"/>
          <w:sz w:val="24"/>
          <w:szCs w:val="24"/>
          <w:lang w:val="en-US"/>
        </w:rPr>
        <w:t>), the lifetime of the project (n) and the investment (</w:t>
      </w:r>
      <w:proofErr w:type="spellStart"/>
      <w:r w:rsidRPr="00C926EC">
        <w:rPr>
          <w:rFonts w:ascii="Arial" w:eastAsiaTheme="minorEastAsia" w:hAnsi="Arial" w:cs="Arial"/>
          <w:sz w:val="24"/>
          <w:szCs w:val="24"/>
          <w:lang w:val="en-US"/>
        </w:rPr>
        <w:t>C</w:t>
      </w:r>
      <w:r w:rsidRPr="00C926EC">
        <w:rPr>
          <w:rFonts w:ascii="Arial" w:eastAsiaTheme="minorEastAsia" w:hAnsi="Arial" w:cs="Arial"/>
          <w:sz w:val="24"/>
          <w:szCs w:val="24"/>
          <w:vertAlign w:val="subscript"/>
          <w:lang w:val="en-US"/>
        </w:rPr>
        <w:t>inv</w:t>
      </w:r>
      <w:proofErr w:type="spellEnd"/>
      <w:r w:rsidRPr="00C926EC">
        <w:rPr>
          <w:rFonts w:ascii="Arial" w:eastAsiaTheme="minorEastAsia" w:hAnsi="Arial" w:cs="Arial"/>
          <w:sz w:val="24"/>
          <w:szCs w:val="24"/>
          <w:lang w:val="en-US"/>
        </w:rPr>
        <w:t xml:space="preserve">). </w:t>
      </w:r>
      <w:r w:rsidRPr="00C926EC">
        <w:rPr>
          <w:rFonts w:ascii="Arial" w:hAnsi="Arial" w:cs="Arial"/>
          <w:sz w:val="24"/>
          <w:szCs w:val="24"/>
          <w:lang w:val="en-US"/>
        </w:rPr>
        <w:t>Concerning the discount rate, it expresses the time value of money invested</w:t>
      </w:r>
      <w:r w:rsidR="009F1FBA" w:rsidRPr="00C926EC">
        <w:rPr>
          <w:rFonts w:ascii="Arial" w:hAnsi="Arial" w:cs="Arial"/>
          <w:sz w:val="24"/>
          <w:szCs w:val="24"/>
          <w:lang w:val="en-US"/>
        </w:rPr>
        <w:t>. I</w:t>
      </w:r>
      <w:r w:rsidRPr="00C926EC">
        <w:rPr>
          <w:rFonts w:ascii="Arial" w:hAnsi="Arial" w:cs="Arial"/>
          <w:sz w:val="24"/>
          <w:szCs w:val="24"/>
          <w:lang w:val="en-US"/>
        </w:rPr>
        <w:t>ts value can make the difference between whether an investment project is economically viable or not. In this case</w:t>
      </w:r>
      <w:r w:rsidR="009F1FBA" w:rsidRPr="00C926EC">
        <w:rPr>
          <w:rFonts w:ascii="Arial" w:hAnsi="Arial" w:cs="Arial"/>
          <w:sz w:val="24"/>
          <w:szCs w:val="24"/>
          <w:lang w:val="en-US"/>
        </w:rPr>
        <w:t>,</w:t>
      </w:r>
      <w:r w:rsidRPr="00C926EC">
        <w:rPr>
          <w:rFonts w:ascii="Arial" w:hAnsi="Arial" w:cs="Arial"/>
          <w:sz w:val="24"/>
          <w:szCs w:val="24"/>
          <w:lang w:val="en-US"/>
        </w:rPr>
        <w:t xml:space="preserve"> consensus was found at 5% as representative value </w:t>
      </w:r>
      <w:r w:rsidRPr="00C926EC">
        <w:rPr>
          <w:rFonts w:ascii="Arial" w:hAnsi="Arial" w:cs="Arial"/>
          <w:sz w:val="24"/>
          <w:szCs w:val="24"/>
        </w:rPr>
        <w:fldChar w:fldCharType="begin" w:fldLock="1"/>
      </w:r>
      <w:r w:rsidRPr="00C926EC">
        <w:rPr>
          <w:rFonts w:ascii="Arial" w:hAnsi="Arial" w:cs="Arial"/>
          <w:sz w:val="24"/>
          <w:szCs w:val="24"/>
          <w:lang w:val="en-US"/>
        </w:rPr>
        <w:instrText>ADDIN CSL_CITATION {"citationItems":[{"id":"ITEM-1","itemData":{"DOI":"10.1016/j.jclepro.2019.05.116","ISSN":"09596526","abstract":"The green revolution represents a substantial investment plan on renewable energy resources (RESs) reducing the country's dependence on fossil fuels energy. Currently, some resources are not completely exploited and the transformation of waste residues into green energy is able to develop circular economy models. Europe has a great potential coming from animal residues and the transport sector has a weak growth of RESs. Biomethane, also called green gas, is a possible valid solution. This work provides an economic analysis regarding both biogas and biomethane plants that use several typologies of animal residues. Net Present Value (NPV) and Discounted Payback Time (DPBT) are used as indexes. The production of electricity by biogas plants contributes to reducing the levels of emissions, but its upgrading can conduct to increase environmental performance. This is not coupled with an increase in profits. Results of the work define the minimum size in which both biogas and biomethane plants are profitable and the key-role of subsidies trying to provide policy guidance to governments and planners.","author":[{"dropping-particle":"","family":"Cucchiella","given":"Federica","non-dropping-particle":"","parse-names":false,"suffix":""},{"dropping-particle":"","family":"D'Adamo","given":"Idiano","non-dropping-particle":"","parse-names":false,"suffix":""},{"dropping-particle":"","family":"Gastaldi","given":"Massimo","non-dropping-particle":"","parse-names":false,"suffix":""}],"container-title":"Journal of Cleaner Production","id":"ITEM-1","issued":{"date-parts":[["2019"]]},"title":"An economic analysis of biogas-biomethane chain from animal residues in Italy","type":"article</w:instrText>
      </w:r>
      <w:r w:rsidRPr="00C926EC">
        <w:rPr>
          <w:rFonts w:ascii="Arial" w:hAnsi="Arial" w:cs="Arial"/>
          <w:sz w:val="24"/>
          <w:szCs w:val="24"/>
        </w:rPr>
        <w:instrText>-journal"},"uris":["http://www.mendeley.com/documents/?uuid=031265b9-16e7-4100-a4a7-97606e909e91"]},{"id":"ITEM-2","itemData":{"DOI":"10.3390/app9112221","ISSN":"20763417","abstract":"This work focuses on the profitability of biomethane plants and the environmental benefits obtained recovering the organic fraction of municipal solid waste in Italy. The economic model is based on the calculations of the net present value, considering multiple capacities of biomethane production (ranging from 50 to 500 m3/h) and alternative scenarios based on the variation in subsidies, the selling price of biomethane, and the net revenues from the treatment of organic waste. The environmental analysis quantifies the reduction in greenhouse gas emissions obtained by natural gas vehicles fueled by biomethane. The economic and environmental results encourage energy change that can be achieved by municipalities that support the transformation of natural resources into green fuels. Across 15 Italian municipalities, the potential biomethane production varies from 80.4 million m3/year to 102.8 million m3/year, with an overall net present value ranging from 135 to 187 million €. In addition, the reduction in greenhouse gas emissions varies from 127 to 162 thousand-ton CO2eq/year. Both the economic and environmental results demonstrate that biomethane is a renewable resource with added value for municipalities.","author":[{"dropping-particle":"","family":"Cucchiella","given":"Federica","non-dropping-particle":"","parse-names":false,"suffix":""},{"dropping-particle":"","family":"D'Adamo","given":"Idiano","non-dropping-particle":"","parse-names":false,"suffix":""},{"dropping-particle":"","family":"Gastaldi","given":"Massimo","non-dropping-particle":"","parse-names":false,"suffix":""}],"container-title":"Applied Sciences (Switzerland)","id":"ITEM-2","issued":{"date-parts":[["2019"]]},"title":"Sustainable Italian cities: The added value of biomethane from organic waste","type":"article-journal"},"uris":["http://www.mendeley.com/documents/?uuid=c0b1d35d-17e0-4065-9e17-7acd90a175dc"]},{"id":"ITEM-3","itemData":{"DOI":"10.1016/j.jclepro.2018.11.073","ISSN":"09596526","abstract":"The development of renewable energies was impressive in recent years on a global scale. This produced changes regarding production processes, citizens' habits, industrial investments and consumer decisions. In this context, the policy-maker played a crucial role. The subsidies are able to determine the development of a specific market. Biogas market spread globally, while biomethane market concentrated in some territories. Green gas can be used as vehicle fuel or injected into the gas grid but also burnt for co-generation. The present work proposes a techno-economic analysis for an existing biogas plant. In particular, the analysis was focused on the comparison between two possible strategic plans, in order to establish which one was the best in terms of profitability: the first one is the expansion of the plant to upgrade biogas to biomethane, whereas the second one is to continue the production of biogas as planned when the plant was constructed. The Discounted Cash Flow (DCF) method was proposed in this paper, and the Net Present Value (NPV) is the main index used. One 250 m3/h biomethane plant located in Italy using pressure swing adsorption (PSA) technique is analysed. The results demonstrated the positive environmental impact deriving from the use of zeolites synthesized from spent fly ash and the profitability is verified only in some scenarios. However, they are limited only to the construction of new biomethane plants, while the upgrading of existing biogas plants are always unprofitable. A Break-Even Point (BEP) analysis quantifies the value of subsidies of biogas and biomethane by which the profitability could be reached. Biomethane can contribute to the development of circular economy models, while the sustainability targets are achieved only in some scenarios.","author":[{"dropping-particle":"","family":"Ferella","given":"Francesco","non-dropping-particle":"","parse-names":false,"suffix":""},{"dropping-particle":"","family":"Cucchiella","given":"Federica","non-dropping-particle":"","parse-names":false,"suffix":""},{"dropping-particle":"","family":"D'Adamo","given":"Idiano","non-dropping-particle":"","parse-names":false,"suffix":""},{"dropping-particle":"","family":"Gallucci","given":"Katia","non-dropping-particle":"","parse-names":false,"suffix":""}],"container-title":"Journal of Cleaner Production","id":"ITEM-3","issued":{"date-parts":[["2019"]]},"title":"A techno-economic assessment of biogas upgrading in a developed market","type":"article-journal"},"uris":["http://www.mendeley.com/documents/?uuid=1ed9c8da-5981-4a11-98de-f61360b942f0"]},{"id":"ITEM-4","itemData":{"DOI":"10.1016/j.enconman.2016.04.058","ISSN":"01968904","abstract":"Biomethane is a renewable energy useful to encourage the transition to a sustainable energy future. Incentive policies favour its development and consequently this paper evaluates the economic performance for use of biomethane fed into the grid, destined for cogeneration or sold as vehicle fuel. A mathematical model is proposed and the indicators used are Net Present Value and Discounted Payback Time. This paper aims to evaluate the financial feasibility of biomethane plants in function of the plant size (100 m 3 /h, 250 m 3 /h, 500 m 3 /h, 1000 m 3 /h) and the feedstock used (organic fraction of municipal solid waste and a mixture of 30% maize and 70% manure residues on a weight basis) for each final destination of biomethane. Furthermore, a sensitivity analysis on the critical variables is conducted and 356 case studies are overall assessed. The results of the paper demonstrate that the profitability of biomethane plants is verified in several scenarios and it is strongly linked to the subsidies. Biomethane used as vehicle fuel presents greater financial results favouring the increase of share of renewable energy in transport sector and environmental improvements are obtained.","author":[{"dropping-particle":"","family":"Cucchiella","given":"Federica","non-dropping-particle":"","parse-names":false,"suffix":""},{"dropping-particle":"","family":"D'Adamo","given":"Idiano","non-dropping-particle":"","parse-names":false,"suffix":""}],"container-title":"Energy Conversion and Management","id":"ITEM-4","issued":{"date-parts":[["2016"]]},"title":"Technical and economic analysis of biomethane: A focus on the role of subsidies","type":"article-journal"},"uris":["http://www.mendeley.com/documents/?uuid=1397b4d5-3241-4217-be6a-943e2bf04af2"]}],"mendeley":{"formattedCitation":"(Cucchiella et al., 2019a, 2019b; Cucchiella and D’Adamo, 2016; Ferella et al., 2019)","plainTextFormattedCitation":"(Cucchiella et al., 2019a, 2019b; Cucchiella and D’Adamo, 2016; Ferella et al., 2019)","previouslyFormattedCitation":"(Cucchiella et al., 2019a, 2019b; Cucchiella and D’Adamo, 2016; Ferella et al., 2019)"},"properties":{"noteIndex":0},"schema":"https://github.com/citation-style-language/schema/raw/master/csl-citation.json"}</w:instrText>
      </w:r>
      <w:r w:rsidRPr="00C926EC">
        <w:rPr>
          <w:rFonts w:ascii="Arial" w:hAnsi="Arial" w:cs="Arial"/>
          <w:sz w:val="24"/>
          <w:szCs w:val="24"/>
        </w:rPr>
        <w:fldChar w:fldCharType="separate"/>
      </w:r>
      <w:r w:rsidRPr="00C926EC">
        <w:rPr>
          <w:rFonts w:ascii="Arial" w:hAnsi="Arial" w:cs="Arial"/>
          <w:noProof/>
          <w:sz w:val="24"/>
          <w:szCs w:val="24"/>
        </w:rPr>
        <w:t>(Cucchiella et al., 2019a, 2019b; Cucchiella and D’Adamo, 2016; Ferella et al., 2019)</w:t>
      </w:r>
      <w:r w:rsidRPr="00C926EC">
        <w:rPr>
          <w:rFonts w:ascii="Arial" w:hAnsi="Arial" w:cs="Arial"/>
          <w:sz w:val="24"/>
          <w:szCs w:val="24"/>
        </w:rPr>
        <w:fldChar w:fldCharType="end"/>
      </w:r>
      <w:r w:rsidRPr="00C926EC">
        <w:rPr>
          <w:rFonts w:ascii="Arial" w:hAnsi="Arial" w:cs="Arial"/>
          <w:sz w:val="24"/>
          <w:szCs w:val="24"/>
        </w:rPr>
        <w:t xml:space="preserve">. </w:t>
      </w:r>
      <w:r w:rsidRPr="00C926EC">
        <w:rPr>
          <w:rFonts w:ascii="Arial" w:eastAsiaTheme="minorEastAsia" w:hAnsi="Arial" w:cs="Arial"/>
          <w:sz w:val="24"/>
          <w:szCs w:val="24"/>
          <w:lang w:val="en-US"/>
        </w:rPr>
        <w:t>The estimation of I</w:t>
      </w:r>
      <w:r w:rsidRPr="00C926EC">
        <w:rPr>
          <w:rFonts w:ascii="Arial" w:eastAsiaTheme="minorEastAsia" w:hAnsi="Arial" w:cs="Arial"/>
          <w:sz w:val="24"/>
          <w:szCs w:val="24"/>
          <w:vertAlign w:val="subscript"/>
          <w:lang w:val="en-US"/>
        </w:rPr>
        <w:t>t</w:t>
      </w:r>
      <w:r w:rsidRPr="00C926EC">
        <w:rPr>
          <w:rFonts w:ascii="Arial" w:eastAsiaTheme="minorEastAsia" w:hAnsi="Arial" w:cs="Arial"/>
          <w:sz w:val="24"/>
          <w:szCs w:val="24"/>
          <w:lang w:val="en-US"/>
        </w:rPr>
        <w:t xml:space="preserve"> entails the calculation of the revenues obtained for selling the biomethane produced. This calculation is carried out through multiplying the biomethane produced times the natural gas price. For the estimation of </w:t>
      </w:r>
      <w:proofErr w:type="spellStart"/>
      <w:r w:rsidRPr="00C926EC">
        <w:rPr>
          <w:rFonts w:ascii="Arial" w:eastAsiaTheme="minorEastAsia" w:hAnsi="Arial" w:cs="Arial"/>
          <w:sz w:val="24"/>
          <w:szCs w:val="24"/>
          <w:lang w:val="en-US"/>
        </w:rPr>
        <w:t>O</w:t>
      </w:r>
      <w:r w:rsidRPr="00C926EC">
        <w:rPr>
          <w:rFonts w:ascii="Arial" w:eastAsiaTheme="minorEastAsia" w:hAnsi="Arial" w:cs="Arial"/>
          <w:sz w:val="24"/>
          <w:szCs w:val="24"/>
          <w:vertAlign w:val="subscript"/>
          <w:lang w:val="en-US"/>
        </w:rPr>
        <w:t>t</w:t>
      </w:r>
      <w:proofErr w:type="spellEnd"/>
      <w:r w:rsidRPr="00C926EC">
        <w:rPr>
          <w:rFonts w:ascii="Arial" w:eastAsiaTheme="minorEastAsia" w:hAnsi="Arial" w:cs="Arial"/>
          <w:sz w:val="24"/>
          <w:szCs w:val="24"/>
          <w:lang w:val="en-US"/>
        </w:rPr>
        <w:t xml:space="preserve">, two stages need to be differentiated: biogas upgrading (BU) and its distribution (DB). The parameters included below were considered for the calculation of </w:t>
      </w:r>
      <w:proofErr w:type="spellStart"/>
      <w:r w:rsidRPr="00C926EC">
        <w:rPr>
          <w:rFonts w:ascii="Arial" w:eastAsiaTheme="minorEastAsia" w:hAnsi="Arial" w:cs="Arial"/>
          <w:sz w:val="24"/>
          <w:szCs w:val="24"/>
          <w:lang w:val="en-US"/>
        </w:rPr>
        <w:t>O</w:t>
      </w:r>
      <w:r w:rsidRPr="00C926EC">
        <w:rPr>
          <w:rFonts w:ascii="Arial" w:eastAsiaTheme="minorEastAsia" w:hAnsi="Arial" w:cs="Arial"/>
          <w:sz w:val="24"/>
          <w:szCs w:val="24"/>
          <w:vertAlign w:val="subscript"/>
          <w:lang w:val="en-US"/>
        </w:rPr>
        <w:t>t</w:t>
      </w:r>
      <w:proofErr w:type="spellEnd"/>
      <w:r w:rsidRPr="00C926EC">
        <w:rPr>
          <w:rFonts w:ascii="Arial" w:eastAsiaTheme="minorEastAsia" w:hAnsi="Arial" w:cs="Arial"/>
          <w:sz w:val="24"/>
          <w:szCs w:val="24"/>
          <w:lang w:val="en-US"/>
        </w:rPr>
        <w:t xml:space="preserve">: (1) Cost of the loan </w:t>
      </w:r>
      <w:r w:rsidRPr="00C926EC">
        <w:rPr>
          <w:rFonts w:ascii="Arial" w:hAnsi="Arial" w:cs="Arial"/>
          <w:sz w:val="24"/>
          <w:szCs w:val="24"/>
          <w:lang w:val="en-US"/>
        </w:rPr>
        <w:t>(</w:t>
      </w:r>
      <w:proofErr w:type="spellStart"/>
      <w:r w:rsidRPr="00C926EC">
        <w:rPr>
          <w:rFonts w:ascii="Arial" w:hAnsi="Arial" w:cs="Arial"/>
          <w:sz w:val="24"/>
          <w:szCs w:val="24"/>
          <w:lang w:val="en-US"/>
        </w:rPr>
        <w:t>C</w:t>
      </w:r>
      <w:r w:rsidRPr="00C926EC">
        <w:rPr>
          <w:rFonts w:ascii="Arial" w:hAnsi="Arial" w:cs="Arial"/>
          <w:sz w:val="24"/>
          <w:szCs w:val="24"/>
          <w:vertAlign w:val="subscript"/>
          <w:lang w:val="en-US"/>
        </w:rPr>
        <w:t>loanBU</w:t>
      </w:r>
      <w:proofErr w:type="spellEnd"/>
      <w:r w:rsidRPr="00C926EC">
        <w:rPr>
          <w:rFonts w:ascii="Arial" w:hAnsi="Arial" w:cs="Arial"/>
          <w:sz w:val="24"/>
          <w:szCs w:val="24"/>
          <w:lang w:val="en-US"/>
        </w:rPr>
        <w:t xml:space="preserve">), assumed to be covered by a third party and calculated through </w:t>
      </w:r>
      <w:r w:rsidRPr="00C926EC">
        <w:rPr>
          <w:rFonts w:ascii="Arial" w:eastAsiaTheme="minorEastAsia" w:hAnsi="Arial" w:cs="Arial"/>
          <w:sz w:val="24"/>
          <w:szCs w:val="24"/>
          <w:lang w:val="en-US"/>
        </w:rPr>
        <w:t xml:space="preserve">the investment and the number </w:t>
      </w:r>
      <w:r w:rsidRPr="00C926EC">
        <w:rPr>
          <w:rFonts w:ascii="Arial" w:eastAsiaTheme="minorEastAsia" w:hAnsi="Arial" w:cs="Arial"/>
          <w:sz w:val="24"/>
          <w:szCs w:val="24"/>
          <w:lang w:val="en-US"/>
        </w:rPr>
        <w:lastRenderedPageBreak/>
        <w:t>of years taken to pay back the loan (</w:t>
      </w:r>
      <w:proofErr w:type="spellStart"/>
      <w:r w:rsidRPr="00C926EC">
        <w:rPr>
          <w:rFonts w:ascii="Arial" w:eastAsiaTheme="minorEastAsia" w:hAnsi="Arial" w:cs="Arial"/>
          <w:sz w:val="24"/>
          <w:szCs w:val="24"/>
          <w:lang w:val="en-US"/>
        </w:rPr>
        <w:t>n</w:t>
      </w:r>
      <w:r w:rsidRPr="00C926EC">
        <w:rPr>
          <w:rFonts w:ascii="Arial" w:eastAsiaTheme="minorEastAsia" w:hAnsi="Arial" w:cs="Arial"/>
          <w:sz w:val="24"/>
          <w:szCs w:val="24"/>
          <w:vertAlign w:val="subscript"/>
          <w:lang w:val="en-US"/>
        </w:rPr>
        <w:t>l</w:t>
      </w:r>
      <w:proofErr w:type="spellEnd"/>
      <w:r w:rsidRPr="00C926EC">
        <w:rPr>
          <w:rFonts w:ascii="Arial" w:eastAsiaTheme="minorEastAsia" w:hAnsi="Arial" w:cs="Arial"/>
          <w:sz w:val="24"/>
          <w:szCs w:val="24"/>
          <w:lang w:val="en-US"/>
        </w:rPr>
        <w:t>)</w:t>
      </w:r>
      <w:r w:rsidRPr="00C926EC">
        <w:rPr>
          <w:rFonts w:ascii="Arial" w:hAnsi="Arial" w:cs="Arial"/>
          <w:sz w:val="24"/>
          <w:szCs w:val="24"/>
          <w:lang w:val="en-US"/>
        </w:rPr>
        <w:t xml:space="preserve">. The investment costs were selected in agreement with previous references that has been validated in several works </w:t>
      </w:r>
      <w:r w:rsidRPr="00C926EC">
        <w:rPr>
          <w:rFonts w:ascii="Arial" w:hAnsi="Arial" w:cs="Arial"/>
          <w:sz w:val="24"/>
          <w:szCs w:val="24"/>
        </w:rPr>
        <w:fldChar w:fldCharType="begin" w:fldLock="1"/>
      </w:r>
      <w:r w:rsidRPr="00C926EC">
        <w:rPr>
          <w:rFonts w:ascii="Arial" w:hAnsi="Arial" w:cs="Arial"/>
          <w:sz w:val="24"/>
          <w:szCs w:val="24"/>
          <w:lang w:val="en-US"/>
        </w:rPr>
        <w:instrText>ADDIN CSL_CITATION {"citationItems":[{"id":"ITEM-1","itemData":{"DOI":"10.3390/app9112221","ISSN":"20763417","abstract":"This work focuses on the profitability of biomethane plants and the environmental benefits obtained recovering the organic fraction of municipal solid waste in Italy. The economic model is based on the calculations of the net present value, considering multiple capacities of biomethane production (ranging from 50 to 500 m3/h) and alternative scenarios based on the variation in subsidies, the selling price of biomethane, and the net revenues from the treatment of organic waste. The environmental analysis quantifies the reduction in greenhouse gas emissions obtained by natural gas vehicles fueled by biomethane. The economic and environmental results encourage energy change that can be achieved by municipalities that support the transformation of natural resources into green fuels. Across 15 Italian municipalities, the potential biomethane production varies from 80.4 million m3/year to 102.8 million m3/year, with an overall net present value ranging from 135 to 187 million €. In addition, the reduction in greenhouse gas emissions varies from 127 to 162 thousand-ton CO2eq/year. Both the economic and environmental results demonstrate that biomethane is a renewable resource with added value for municipalities.","author":[{"dropping-particle":"","fami</w:instrText>
      </w:r>
      <w:r w:rsidRPr="00C926EC">
        <w:rPr>
          <w:rFonts w:ascii="Arial" w:hAnsi="Arial" w:cs="Arial"/>
          <w:sz w:val="24"/>
          <w:szCs w:val="24"/>
        </w:rPr>
        <w:instrText xml:space="preserve">ly":"Cucchiella","given":"Federica","non-dropping-particle":"","parse-names":false,"suffix":""},{"dropping-particle":"","family":"D'Adamo","given":"Idiano","non-dropping-particle":"","parse-names":false,"suffix":""},{"dropping-particle":"","family":"Gastaldi","given":"Massimo","non-dropping-particle":"","parse-names":false,"suffix":""}],"container-title":"Applied Sciences (Switzerland)","id":"ITEM-1","issued":{"date-parts":[["2019"]]},"title":"Sustainable Italian cities: The added value of biomethane from organic waste","type":"article-journal"},"uris":["http://www.mendeley.com/documents/?uuid=c0b1d35d-17e0-4065-9e17-7acd90a175dc"]},{"id":"ITEM-2","itemData":{"DOI":"10.1016/j.enconman.2016.04.058","ISSN":"01968904","abstract":"Biomethane is a renewable energy useful to encourage the transition to a sustainable energy future. Incentive policies favour its development and consequently this paper evaluates the economic performance for use of biomethane fed into the grid, destined for cogeneration or sold as vehicle fuel. A mathematical model is proposed and the indicators used are Net Present Value and Discounted Payback Time. This paper aims to evaluate the financial feasibility of biomethane plants in function of the plant size (100 m 3 /h, 250 m 3 /h, 500 m 3 /h, 1000 m 3 /h) and the feedstock used (organic fraction of municipal solid waste and a mixture of 30% maize and 70% manure residues on a weight basis) for each final destination of biomethane. Furthermore, a sensitivity analysis on the critical variables is conducted and 356 case studies are overall assessed. The results of the paper demonstrate that the profitability of biomethane plants is verified in several scenarios and it is strongly linked to the subsidies. Biomethane used as vehicle fuel presents greater financial results favouring the increase of share of renewable energy in transport sector and environmental improvements are obtained.","author":[{"dropping-particle":"","family":"Cucchiella","given":"Federica","non-dropping-particle":"","parse-names":false,"suffix":""},{"dropping-particle":"","family":"D'Adamo","given":"Idiano","non-dropping-particle":"","parse-names":false,"suffix":""}],"container-title":"Energy Conversion and Management","id":"ITEM-2","issued":{"date-parts":[["2016"]]},"title":"Technical and economic analysis of biomethane: A focus on the role of subsidies","type":"article-journal"},"uris":["http://www.mendeley.com/documents/?uuid=1397b4d5-3241-4217-be6a-943e2bf04af2"]},{"id":"ITEM-3","itemData":{"DOI":"10.1016/j.jclepro.2019.05.116","ISSN":"09596526","abstract":"The green revolution represents a substantial investment plan on renewable energy resources (RESs) reducing the country's dependence on fossil fuels energy. Currently, some resources are not completely exploited and the transformation of waste residues into green energy is able to develop circular economy models. Europe has a great potential coming from animal residues and the transport sector has a weak growth of RESs. Biomethane, also called green gas, is a possible valid solution. This work provides an economic analysis regarding both biogas and biomethane plants that use several typologies of animal residues. Net Present Value (NPV) and Discounted Payback Time (DPBT) are used as indexes. The production of electricity by biogas plants contributes to reducing the levels of emissions, but its upgrading can conduct to increase environmental performance. This is not coupled with an increase in profits. Results of the work define the minimum size in which both biogas and biomethane plants are profitable and the key-role of subsidies trying to provide policy guidance to governments and planners.","author":[{"dropping-particle":"","family":"Cucchiella","given":"Federica","non-dropping-particle":"","parse-names":false,"suffix":""},{"dropping-particle":"","family":"D'Adamo","given":"Idiano","non-dropping-particle":"","parse-names":false,"suffix":""},{"dropping-particle":"","family":"Gastaldi","given":"Massimo","non-dropping-particle":"","parse-names":false,"suffix":""}],"container-title":"Journal of Cleaner Production","id":"ITEM-3","issued":{"date-parts":[["2019"]]},"title":"An economic analysis of biogas-biomethane chain from animal residues in Italy","type":"article-journal"},"uris":["http://www.mendeley.com/documents/?uuid=031265b9-16e7-4100-a4a7-97606e909e91"]},{"id":"ITEM-4","itemData":{"DOI":"10.1016/j.jclepro.2018.02.243","ISSN":"09596526","abstract":"Biomethane is a promising renewable energy carrier with the potential to diversify and decarbonise natural gas. It is produced from a range of waste sources and can be distributed into the natural gas grid or used as a vehicle fuel or converted into in cogeneration units. The economic evaluation of small plants for biomethane injection into the gas grid is not well defined in literature. This paper proposes a mathematical and economic model useful to evaluate the profitability of these plants in according to Discounted Cash Flow (DCF) method. The indicators used are Net Present Value (NPV), Discounted Payback Time (DPBT), Internal Rate of Return (IRR) and Profitability Index (PI). The baseline case studies analyse three different small-scale sizes (50 m3/h, 100 m3/h and 150 m3/h) concerning two typologies of substrates (organic fraction of municipal solid waste (ofmsw) and a mixture of maize and manure residues). Results define that the profitability is verified only for 150 m3/h ofmsw plant in baseline case study (NPV is 615,694 €, DPBT is 3 y, IRR is 33% and PI is 0.18). Furthermore, alternative case studies are conducted on the main critical variables (subsidies, investment costs of biogas production, transport costs of substrates and percentage of maintenance and overhead costs in biogas production). The economic feasibility can be reached in the following case studies: 100 m3/h ofmsw plant in sensitivity analysis, 50 m3/h ofmsw plant in scenario analysis, 150 m3/h mixed plant in scenario analysis with a new incentive scheme and 100 m3/h manure residues plant in scenario analysis. The biomethane can contribute to develop the circular economy recovering a wide range of waste.","author":[{"dropping-particle":"","family":"Cucchiella","given":"Federica","non-dropping-particle":"","parse-names":false,"suffix":""},{"dropping-particle":"","family":"D'Adamo","given":"Idiano","non-dropping-particle":"","parse-names":false,"suffix":""},{"dropping-particle":"","family":"Gastaldi","given":"Massimo","non-dropping-particle":"","parse-names":false,"suffix":""},{"dropping-particle":"","family":"Miliacca","given":"Michela","non-dropping-particle":"","parse-names":false,"suffix":""}],"container-title":"Journal of Cleaner Production","id":"ITEM-4","issued":{"date-parts":[["2018"]]},"title":"A profitability analysis of small-scale plants for biomethane injection into the gas grid","type":"article-journal"},"uris":["http://www.mendeley.com/documents/?uuid=651840ed-9a94-4090-be81-6df054153eb6"]},{"id":"ITEM-5","itemData":{"DOI":"10.1016/j.energy.2020.118158","ISSN":"03605442","abstract":"A novel analysis addresses the economic viability of biomethane production from small biogas plants in South Spain, as a claim to promote the use of green energy and reduce the consumption of natural gas. To this end, the importance of governmental incentives to reach profitability in biomethane plants is illustrated through a case study. To date, no study addressing this problem specifically for South Spain can be found. The study considers the whole process from biogas production to biomethane feeding into the grid, for three different biomethane capacities (50, 100 and 150 m3/h) and includes an exhaustive sensitivity analysis. For the three cases, implementing a biomethane plant is not viable and, therefore, not attractive for investors. Results considering biomethane governmental incentives as feed-in premia show significant improvements on the profitability of the largest plants. For example, supporting 150 m3/h biomethane production capacity plants with a premium price of only 6 €/MWh (6.6 cents/m3) results in 270 k€ NPV. Nevertheless, the smallest biomethane plants are hardly feasible. Concerning governmental support through investment subsidies, 150 m3/h plants are profitable if 10% of the investment is subsidized, whereas the smallest plants do not reach profitability even if 50% of the investment is subsidized.","author":[{"dropping-particle":"","family":"Baena-Moreno","given":"Francisco M.","non-dropping-particle":"","parse-names":false,"suffix":""},{"dropping-particle":"","family":"Malico","given":"Isabel","non-dropping-particle":"","parse-names":false,"suffix":""},{"dropping-particle":"","family":"Rodríguez-Galán","given":"Mónica","non-dropping-particle":"","parse-names":false,"suffix":""},{"dropping-particle":"","family":"Serrano","given":"Antonio","non-dropping-particle":"","parse-names":false,"suffix":""},{"dropping-particle":"","family":"Fermoso","given":"Fernando G.","non-dropping-particle":"","parse-names":false,"suffix":""},{"dropping-particle":"","family":"Navarrete","given":"Benito","non-dropping-particle":"","parse-names":false,"suffix":""}],"container-title":"Energy","id":"ITEM-5","issued":{"date-parts":[["2020"]]},"title":"The importance of governmental incentives for small biomethane plants in South Spain","type":"article-journal"},"uris":["http://www.mendeley.com/documents/?uuid=56c3ae58-6318-4622-82e7-bb5a8f328a04"]},{"id":"ITEM-6","itemData":{"DOI":"10.3390/SU13168933","abstract":"Wastewater treatment plants (WWTP) located in regions far from a high-pressure grid can produce renewable biomethane, which can partially substitute the natural gas locally consumed. However, the economic viability of implementing biomethane plants in WWTP has to be guaranteed. This paper uses the discount cash flow method to analyze the economic viability of producing biomethane in a WWTP located in Évora (Portugal). The results show that, under the current conditions, it is unprofitable to produce biomethane in this WWTP. Since selling the CO2 separated from biogas may result in an additional income, this option was also considered. In this case, a price of 46 EUR/t CO2 has to be paid to make the project viable. Finally, the impact of potential government incentives in the form of feed-in premia was investigated. Without selling CO2, the project would only be profitable for feed-in premia above 55.5 EUR/MWh. If all the CO2 produced was sold at 30 EUR/t CO2, a premium price of 20 EUR/MWh would make the project profitable. This study shows that the economic attractiveness of producing biomethane in small WWTP is only secured through sufficient financial incentives, which are vital for developing the biomethane market with all its </w:instrText>
      </w:r>
      <w:r w:rsidRPr="00C926EC">
        <w:rPr>
          <w:rFonts w:ascii="Arial" w:hAnsi="Arial" w:cs="Arial"/>
          <w:sz w:val="24"/>
          <w:szCs w:val="24"/>
          <w:lang w:val="en-US"/>
        </w:rPr>
        <w:instrText>associated advantages.","author":[{"dropping-particle":"","family":"Baena-Moreno","given":"Francisco M.","non-dropping-particle":"","parse-names":false,"suffix":""},{"dropping-particle":"","family":"Malico","given":"Isabel","non-dropping-particle":"","parse-names":false,"suffix":""},{"dropping-particle":"","family":"Marques","given":"Isabel Paula","non-dropping-particle":"","parse-names":false,"suffix":""}],"container-title":"Sustainability 2021, Vol. 13, Page 8933","id":"ITEM-6","issue":"16","issued":{"date-parts":[["2021","8","10"]]},"page":"8933","publisher":"Multidisciplinary Digital Publishing Institute","title":"Promoting Sustainability: Wastewater Treatment Plants as a Source of Biomethane in Regions Far from a High-Pressure Grid. A Real Portuguese Case Study","type":"article-journal","volume":"13"},"uris":["http://www.mendeley.com/documents/?uuid=a2c9316d-bc62-3bf5-821d-57840c18f0b1"]}],"mendeley":{"formattedCitation":"(Baena-Moreno et al., 2020b; Francisco M. Baena-Moreno et al., 2021; Cucchiella et al., 2019b, 2019a, 2018; Cucchiella and D’Adamo, 2016)","plainTextFormattedCitation":"(Baena-Moreno et al., 2020b; Francisco M. Baena-Moreno et al., 2021; Cucchiella et al., 2019b, 2019a, 2018; Cucchiella and D’Adamo, 2016)","previouslyFormattedCitation":"(Baena-Moreno et al., 2020b; Cucchiella et al., 2019b, 2019a, 2018; Cucchiella and D’Adamo, 2016)"},"properties":{"noteIndex":0},"schema":"https://github.com/citation-style-language/schema/raw/master/csl-citation.json"}</w:instrText>
      </w:r>
      <w:r w:rsidRPr="00C926EC">
        <w:rPr>
          <w:rFonts w:ascii="Arial" w:hAnsi="Arial" w:cs="Arial"/>
          <w:sz w:val="24"/>
          <w:szCs w:val="24"/>
        </w:rPr>
        <w:fldChar w:fldCharType="separate"/>
      </w:r>
      <w:r w:rsidRPr="00C926EC">
        <w:rPr>
          <w:rFonts w:ascii="Arial" w:hAnsi="Arial" w:cs="Arial"/>
          <w:noProof/>
          <w:sz w:val="24"/>
          <w:szCs w:val="24"/>
          <w:lang w:val="en-US"/>
        </w:rPr>
        <w:t>(Baena-Moreno et al., 2020b; Baena-Moreno et al., 2021; Cucchiella et al., 2019b, 2019a, 2018; Cucchiella and D’Adamo, 2016)</w:t>
      </w:r>
      <w:r w:rsidRPr="00C926EC">
        <w:rPr>
          <w:rFonts w:ascii="Arial" w:hAnsi="Arial" w:cs="Arial"/>
          <w:sz w:val="24"/>
          <w:szCs w:val="24"/>
        </w:rPr>
        <w:fldChar w:fldCharType="end"/>
      </w:r>
      <w:r w:rsidRPr="00C926EC">
        <w:rPr>
          <w:rFonts w:ascii="Arial" w:hAnsi="Arial" w:cs="Arial"/>
          <w:sz w:val="24"/>
          <w:szCs w:val="24"/>
          <w:lang w:val="en-US"/>
        </w:rPr>
        <w:t>; (2) The interest of the loan (</w:t>
      </w:r>
      <w:proofErr w:type="spellStart"/>
      <w:r w:rsidRPr="00C926EC">
        <w:rPr>
          <w:rFonts w:ascii="Arial" w:hAnsi="Arial" w:cs="Arial"/>
          <w:sz w:val="24"/>
          <w:szCs w:val="24"/>
          <w:lang w:val="en-US"/>
        </w:rPr>
        <w:t>C</w:t>
      </w:r>
      <w:r w:rsidRPr="00C926EC">
        <w:rPr>
          <w:rFonts w:ascii="Arial" w:hAnsi="Arial" w:cs="Arial"/>
          <w:sz w:val="24"/>
          <w:szCs w:val="24"/>
          <w:vertAlign w:val="subscript"/>
          <w:lang w:val="en-US"/>
        </w:rPr>
        <w:t>ilBU</w:t>
      </w:r>
      <w:proofErr w:type="spellEnd"/>
      <w:r w:rsidRPr="00C926EC">
        <w:rPr>
          <w:rFonts w:ascii="Arial" w:hAnsi="Arial" w:cs="Arial"/>
          <w:sz w:val="24"/>
          <w:szCs w:val="24"/>
          <w:lang w:val="en-US"/>
        </w:rPr>
        <w:t xml:space="preserve">), based </w:t>
      </w:r>
      <w:r w:rsidR="00FD4762" w:rsidRPr="00C926EC">
        <w:rPr>
          <w:rFonts w:ascii="Arial" w:hAnsi="Arial" w:cs="Arial"/>
          <w:sz w:val="24"/>
          <w:szCs w:val="24"/>
          <w:lang w:val="en-US"/>
        </w:rPr>
        <w:t>o</w:t>
      </w:r>
      <w:r w:rsidRPr="00C926EC">
        <w:rPr>
          <w:rFonts w:ascii="Arial" w:hAnsi="Arial" w:cs="Arial"/>
          <w:sz w:val="24"/>
          <w:szCs w:val="24"/>
          <w:lang w:val="en-US"/>
        </w:rPr>
        <w:t>n the remaining loan to return and the interest rate (</w:t>
      </w:r>
      <w:proofErr w:type="spellStart"/>
      <w:r w:rsidRPr="00C926EC">
        <w:rPr>
          <w:rFonts w:ascii="Arial" w:hAnsi="Arial" w:cs="Arial"/>
          <w:sz w:val="24"/>
          <w:szCs w:val="24"/>
          <w:lang w:val="en-US"/>
        </w:rPr>
        <w:t>r</w:t>
      </w:r>
      <w:r w:rsidRPr="00C926EC">
        <w:rPr>
          <w:rFonts w:ascii="Arial" w:hAnsi="Arial" w:cs="Arial"/>
          <w:sz w:val="24"/>
          <w:szCs w:val="24"/>
          <w:vertAlign w:val="subscript"/>
          <w:lang w:val="en-US"/>
        </w:rPr>
        <w:t>int</w:t>
      </w:r>
      <w:proofErr w:type="spellEnd"/>
      <w:r w:rsidRPr="00C926EC">
        <w:rPr>
          <w:rFonts w:ascii="Arial" w:hAnsi="Arial" w:cs="Arial"/>
          <w:sz w:val="24"/>
          <w:szCs w:val="24"/>
          <w:lang w:val="en-US"/>
        </w:rPr>
        <w:t xml:space="preserve">) selected. The interest rate is the percentage set by the loan provider, and it has been carefully selected considering a safe scale within the reported values. A wide range of values (from 3% to 9%) can be found in previous works aimed to estimate biogas upgrading profitability. </w:t>
      </w:r>
      <w:proofErr w:type="spellStart"/>
      <w:r w:rsidRPr="00C926EC">
        <w:rPr>
          <w:rFonts w:ascii="Arial" w:hAnsi="Arial" w:cs="Arial"/>
          <w:sz w:val="24"/>
          <w:szCs w:val="24"/>
        </w:rPr>
        <w:t>For</w:t>
      </w:r>
      <w:proofErr w:type="spellEnd"/>
      <w:r w:rsidRPr="00C926EC">
        <w:rPr>
          <w:rFonts w:ascii="Arial" w:hAnsi="Arial" w:cs="Arial"/>
          <w:sz w:val="24"/>
          <w:szCs w:val="24"/>
        </w:rPr>
        <w:t xml:space="preserve"> </w:t>
      </w:r>
      <w:proofErr w:type="spellStart"/>
      <w:r w:rsidRPr="00C926EC">
        <w:rPr>
          <w:rFonts w:ascii="Arial" w:hAnsi="Arial" w:cs="Arial"/>
          <w:sz w:val="24"/>
          <w:szCs w:val="24"/>
        </w:rPr>
        <w:t>example</w:t>
      </w:r>
      <w:proofErr w:type="spellEnd"/>
      <w:r w:rsidRPr="00C926EC">
        <w:rPr>
          <w:rFonts w:ascii="Arial" w:hAnsi="Arial" w:cs="Arial"/>
          <w:sz w:val="24"/>
          <w:szCs w:val="24"/>
        </w:rPr>
        <w:t xml:space="preserve">, </w:t>
      </w:r>
      <w:r w:rsidRPr="00C926EC">
        <w:rPr>
          <w:rFonts w:ascii="Arial" w:hAnsi="Arial" w:cs="Arial"/>
          <w:sz w:val="24"/>
          <w:szCs w:val="24"/>
        </w:rPr>
        <w:fldChar w:fldCharType="begin" w:fldLock="1"/>
      </w:r>
      <w:r w:rsidRPr="00C926EC">
        <w:rPr>
          <w:rFonts w:ascii="Arial" w:hAnsi="Arial" w:cs="Arial"/>
          <w:sz w:val="24"/>
          <w:szCs w:val="24"/>
        </w:rPr>
        <w:instrText>ADDIN CSL_CITATION {"citationItems":[{"id":"ITEM-1","itemData":{"DOI":"10.1021/ie402660s","ISBN":"0888-5885","ISSN":"08885885","abstract":"Biogas upgrading is one piece in the framework of future energy supply. Commonly absorption and adsorption technology is applied for biogas upgrading where CO2, H2S, and water vapor have to be removed from CH4. Gas permeation technology offers an interesting alternative to conventional upgrading techniques. Combining gas permeation membranes and conventional separation equipment in membrane hybrid processes merges the advantages of both technologies. Hence, we analyze seven different membrane hybrid processes for biogas upgrading. A single gas permeation stage is combined with pressurized water scrubbing, amine absorption, cryogenic separation, and a particular process in which the permeate of the gas permeation stage drives a gas engine. Furthermore, we compare the specific upgrading costs to an individual three stage membrane process as well as to conventional separation processes. Simulation studies were performed in Aspen Plus to rigorously model the different hybrid process configurations. A full cost model determines operational and investment costs. The processes combining membranes and pressurized water scrubbing outperform the conventional pressurzied water scrubbing process in terms of specific upgrading costs. The application of a membrane remarkably reduces the upgrading costs for cryogenic separation. While the conventional process is far from being profitable, the hybrid process can compete with established biogas upgrading techniques. The three stage gas permeation process and both hybrid processes involving the pressurized water scrubbing technology have the lowest upgrading costs. Ulti</w:instrText>
      </w:r>
      <w:r w:rsidRPr="00C926EC">
        <w:rPr>
          <w:rFonts w:ascii="Arial" w:hAnsi="Arial" w:cs="Arial"/>
          <w:sz w:val="24"/>
          <w:szCs w:val="24"/>
          <w:lang w:val="en-US"/>
        </w:rPr>
        <w:instrText>mately, it is important to note, that the results obtained in this study rely on the parameters set here. A site were heat is provided inexpensively and low grid injection pressures are required might favor the application of amine absorption processes.","author":[{"dropping-particle":"","family":"Scholz","given":"Marco","non-dropping-particle":"","parse-names":false,"suffix":""},{"dropping-particle":"","family":"Frank","given":"Bernard","non-dropping-particle":"","parse-names":false,"suffix":""},{"dropping-particle":"","family":"Stockmeier","given":"Felix","non-dropping-particle":"","parse-names":false,"suffix":""},{"dropping-particle":"","family":"Falß","given":"Sebastian","non-dropping-particle":"","parse-names":false,"suffix":""},{"dropping-particle":"","family":"Wessling","given":"Matthias","non-dropping-particle":"","parse-names":false,"suffix":""}],"container-title":"Industrial and Engineering Chemistry Research","id":"ITEM-1","issued":{"date-parts":[["2013"]]},"title":"Techno-economic analysis of hybrid processes for biogas upgrading","type":"article-journal"},"uris":["http://www.mendeley.com/documents/?uuid=6d8e94d4-c2cf-4a2d-96bb-714703cb3092"]}],"mendeley":{"formattedCitation":"(Scholz et al., 2013)","manualFormatting":"Scholz et al., 2013","plainTextFormattedCitation":"(Scholz et al., 2013)","previouslyFormattedCitation":"(Scholz et al., 2013)"},"properties":{"noteIndex":0},"schema":"https://github.com/citation-style-language/schema/raw/master/csl-citation.json"}</w:instrText>
      </w:r>
      <w:r w:rsidRPr="00C926EC">
        <w:rPr>
          <w:rFonts w:ascii="Arial" w:hAnsi="Arial" w:cs="Arial"/>
          <w:sz w:val="24"/>
          <w:szCs w:val="24"/>
        </w:rPr>
        <w:fldChar w:fldCharType="separate"/>
      </w:r>
      <w:r w:rsidRPr="00C926EC">
        <w:rPr>
          <w:rFonts w:ascii="Arial" w:hAnsi="Arial" w:cs="Arial"/>
          <w:noProof/>
          <w:sz w:val="24"/>
          <w:szCs w:val="24"/>
          <w:lang w:val="en-US"/>
        </w:rPr>
        <w:t>Scholz et al., 2013</w:t>
      </w:r>
      <w:r w:rsidRPr="00C926EC">
        <w:rPr>
          <w:rFonts w:ascii="Arial" w:hAnsi="Arial" w:cs="Arial"/>
          <w:sz w:val="24"/>
          <w:szCs w:val="24"/>
        </w:rPr>
        <w:fldChar w:fldCharType="end"/>
      </w:r>
      <w:r w:rsidRPr="00C926EC">
        <w:rPr>
          <w:rFonts w:ascii="Arial" w:hAnsi="Arial" w:cs="Arial"/>
          <w:sz w:val="24"/>
          <w:szCs w:val="24"/>
          <w:lang w:val="en-US"/>
        </w:rPr>
        <w:t xml:space="preserve">, selected an interest rate of 9%, similar to the 8% chosen by </w:t>
      </w:r>
      <w:r w:rsidRPr="00C926EC">
        <w:rPr>
          <w:rFonts w:ascii="Arial" w:hAnsi="Arial" w:cs="Arial"/>
          <w:sz w:val="24"/>
          <w:szCs w:val="24"/>
        </w:rPr>
        <w:fldChar w:fldCharType="begin" w:fldLock="1"/>
      </w:r>
      <w:r w:rsidRPr="00C926EC">
        <w:rPr>
          <w:rFonts w:ascii="Arial" w:hAnsi="Arial" w:cs="Arial"/>
          <w:sz w:val="24"/>
          <w:szCs w:val="24"/>
          <w:lang w:val="en-US"/>
        </w:rPr>
        <w:instrText>ADDIN CSL_CITATION {"citationItems":[{"id":"ITEM-1","itemData":{"DOI":"10.1016/j.apenergy.2017.12.099","ISSN":"03062619","abstract":"Biogas upgraded to biomethane can provide a renewable gaseous transport fuel and is one of the proposed solutions in meeting the renewable energy supply in transport targets set under the EU Renewable Energy Directive. The upgrading process for biogas involves the removal of CO2. Amine scrubbing is one traditional method of upgrading that is applied due to its low methane slippage and its capability to provide a high purity renewable methane product. However, new technologies such as power to gas (P2G) can also upgrade biogas through biological methanation by combining the CO2 in biogas with H2 to produce renewable methane. The H2 for P2G can be produced through electrolysis of renewable electricity. Through simulation software – SuperPro Designer, the economics of different pathways for upgrading biogas from a grass silage and slurry fed digester are analysed and compared in this paper. Three scenarios were investigated: biogas upgrading through amine scrubbing (scenario 1); biogas upgrading through amine scrubbing with CO2 directed to ex-situ biological methanation (scenario 2) and biogas upgrading through ex-situ biological methanation only (scenario 3). The results show that at a net present value of zero, the minimum selling price (MSP) per m3 of renewable m</w:instrText>
      </w:r>
      <w:r w:rsidRPr="00C926EC">
        <w:rPr>
          <w:rFonts w:ascii="Arial" w:hAnsi="Arial" w:cs="Arial"/>
          <w:sz w:val="24"/>
          <w:szCs w:val="24"/>
        </w:rPr>
        <w:instrText>ethane for scenario 1, 2 and 3 is €0.76; €1.50 and €1.43, respectively (with an electricity price to produce H2 of €0.10/kWh and a grass silage production cost of €27/t). The electricity price has a significant effect on the cost of renewable methane in both scenarios 2 and 3. The MSP reduces to €1.09 and €1.00 per m3 of renewable methane, respectively for scenarios 2 and 3, if the electricity price is reduced to €0.05/kWh. Since the renewable methane MSP from scenario 2 is higher than scenario 3, it is suggested that direct biogas injection to the methanation reactor is financially more attractive than capturing CO2 from biogas and feeding it to the methanation step. The MSP of renewable methane from both scenarios 2 and 3 are significantly higher than that of scenario 1. However, when considering climate change mitigation, balancing of the electricity network and storage of surplus electricity, utilisi</w:instrText>
      </w:r>
      <w:r w:rsidRPr="00C926EC">
        <w:rPr>
          <w:rFonts w:ascii="Arial" w:hAnsi="Arial" w:cs="Arial"/>
          <w:sz w:val="24"/>
          <w:szCs w:val="24"/>
          <w:lang w:val="en-US"/>
        </w:rPr>
        <w:instrText>ng P2G can offset some of these costs. The cost of H2 is a significant factor in determining the cost of renewable methane.","author":[{"dropping-particle":"","family":"Vo","given":"Truc T.Q.","non-dropping-particle":"","parse-names":false,"suffix":""},{"dropping-particle":"","family":"Wall","given":"David M.","non-dropping-particle":"","parse-names":false,"suffix":""},{"dropping-particle":"","family":"Ring","given":"Denis","non-dropping-particle":"","parse-names":false,"suffix":""},{"dropping-particle":"","family":"Rajendran","given":"Karthik","non-dropping-particle":"","parse-names":false,"suffix":""},{"dropping-particle":"","family":"Murphy","given":"Jerry D.","non-dropping-particle":"","parse-names":false,"suffix":""}],"container-title":"Applied Energy","id":"ITEM-1","issued":{"date-parts":[["2018","2"]]},"page":"1191-1202","publisher":"Elsevier Ltd","title":"Techno-economic analysis of biogas upgrading via amine scrubber, carbon capture and ex-situ methanation","type":"article-journal","volume":"212"},"uris":["http://www.mendeley.com/documents/?uuid=d7ef73f8-5cc7-3a07-99ab-3ebf631ea562","http://www.mendeley.com/documents/?uuid=ead42d0b-b88a-472a-85f0-e43fb6e97990"]}],"mendeley":{"formattedCitation":"(Vo et al., 2018)","manualFormatting":"Vo et al., 2018","plainTextFormattedCitation":"(Vo et al., 2018)","previouslyFormattedCitation":"(Vo et al., 2018)"},"properties":{"noteIndex":0},"schema":"https://github.com/citation-style-language/schema/raw/master/csl-citation.json"}</w:instrText>
      </w:r>
      <w:r w:rsidRPr="00C926EC">
        <w:rPr>
          <w:rFonts w:ascii="Arial" w:hAnsi="Arial" w:cs="Arial"/>
          <w:sz w:val="24"/>
          <w:szCs w:val="24"/>
        </w:rPr>
        <w:fldChar w:fldCharType="separate"/>
      </w:r>
      <w:r w:rsidRPr="00C926EC">
        <w:rPr>
          <w:rFonts w:ascii="Arial" w:hAnsi="Arial" w:cs="Arial"/>
          <w:noProof/>
          <w:sz w:val="24"/>
          <w:szCs w:val="24"/>
          <w:lang w:val="en-US"/>
        </w:rPr>
        <w:t>Vo et al., 2018</w:t>
      </w:r>
      <w:r w:rsidRPr="00C926EC">
        <w:rPr>
          <w:rFonts w:ascii="Arial" w:hAnsi="Arial" w:cs="Arial"/>
          <w:sz w:val="24"/>
          <w:szCs w:val="24"/>
        </w:rPr>
        <w:fldChar w:fldCharType="end"/>
      </w:r>
      <w:r w:rsidRPr="00C926EC">
        <w:rPr>
          <w:rFonts w:ascii="Arial" w:hAnsi="Arial" w:cs="Arial"/>
          <w:sz w:val="24"/>
          <w:szCs w:val="24"/>
          <w:lang w:val="en-US"/>
        </w:rPr>
        <w:t xml:space="preserve">. On the other hand, </w:t>
      </w:r>
      <w:r w:rsidRPr="00C926EC">
        <w:rPr>
          <w:rFonts w:ascii="Arial" w:hAnsi="Arial" w:cs="Arial"/>
          <w:sz w:val="24"/>
          <w:szCs w:val="24"/>
        </w:rPr>
        <w:fldChar w:fldCharType="begin" w:fldLock="1"/>
      </w:r>
      <w:r w:rsidRPr="00C926EC">
        <w:rPr>
          <w:rFonts w:ascii="Arial" w:hAnsi="Arial" w:cs="Arial"/>
          <w:sz w:val="24"/>
          <w:szCs w:val="24"/>
          <w:lang w:val="en-US"/>
        </w:rPr>
        <w:instrText>ADDIN CSL_CITATION {"citationItems":[{"id":"ITEM-1","itemData":{"DOI":"10.1016/j.renene.2017.10.031","ISSN":"18790682","abstract":"This article presents a feasibility analysis of a novel operating principle based on fluctuating electricity prices for an existing biogas plant. By investing in an electrolyzer, excess electricity from renewable production can be stored as CH4 by biological methanation of H2 with CO2 originating from the biogas plant. The main components of the system are an electrolyzer that is connected to an electric grid and an anaerobic digester where the methanation takes place as well as a biogas upgrading unit. First the energy flow of the system was studied, and secondly the operation costs of the system as well as the electrolyzer investment payback time were evaluated. The study showed that up to 40% of the electricity fed into the system can be stored as biomethane, and the system energy flow is most sensitive to the electrolyzer efficiency. The economics of the studied system depend mostly on the electrolyzer investment cost and desired target price for the CH4. The system can be run economically with current electricity prices if the electrolyzer investment costs decrease 60–72% or the price of CH4 increases 20–76% depending on the investment interest and price fluctuation scheme.","author":[{"dropping-particle":"","family":"Pääkkönen","given":"A.","non-dropping-particle":"","parse-names":false,"suffix":""},{"dropping-particle":"","family":"Tolvanen","given":"H.","non-dropping-particle":"","parse-names":false,"suffix":""},{"dropping-particle":"","family":"Rintala","given":"J.","non-dropping-particle":"","parse-names":false,"suffix":""}],"container-title":"Renewable Energy","id":"ITEM-1","issued":{"date-parts":[["2018","3"]]},"page":"166-174","publisher":"Elsevier Ltd","title":"Techno-economic analysis of a power to biogas system operated based on fluctuating electricity price","type":"article-journal","volume":"117"},"uris":["http://www.mendeley.com/documents/?uuid=ce9883b3-4948-38a5-9e2a-394284399e45","http://www.mendeley.com/documents/?uuid=b22bd744-f02c-4d13-851a-6a71a620e6c5"]}],"mendeley":{"formattedCitation":"(Pääkkönen et al., 2018)","manualFormatting":"Pääkkönen et al., 2018","plainTextFormattedCitation":"(Pääkkönen et al., 2018)","previouslyFormattedCitation":"(Pääkkönen et al., 2018)"},"properties":{"noteIndex":0},"schema":"https://github.com/citation-style-language/schema/raw/master/csl-citation.json"}</w:instrText>
      </w:r>
      <w:r w:rsidRPr="00C926EC">
        <w:rPr>
          <w:rFonts w:ascii="Arial" w:hAnsi="Arial" w:cs="Arial"/>
          <w:sz w:val="24"/>
          <w:szCs w:val="24"/>
        </w:rPr>
        <w:fldChar w:fldCharType="separate"/>
      </w:r>
      <w:r w:rsidRPr="00C926EC">
        <w:rPr>
          <w:rFonts w:ascii="Arial" w:hAnsi="Arial" w:cs="Arial"/>
          <w:noProof/>
          <w:sz w:val="24"/>
          <w:szCs w:val="24"/>
          <w:lang w:val="en-US"/>
        </w:rPr>
        <w:t>Pääkkönen et al., 2018</w:t>
      </w:r>
      <w:r w:rsidRPr="00C926EC">
        <w:rPr>
          <w:rFonts w:ascii="Arial" w:hAnsi="Arial" w:cs="Arial"/>
          <w:sz w:val="24"/>
          <w:szCs w:val="24"/>
        </w:rPr>
        <w:fldChar w:fldCharType="end"/>
      </w:r>
      <w:r w:rsidRPr="00C926EC">
        <w:rPr>
          <w:rFonts w:ascii="Arial" w:hAnsi="Arial" w:cs="Arial"/>
          <w:sz w:val="24"/>
          <w:szCs w:val="24"/>
          <w:lang w:val="en-US"/>
        </w:rPr>
        <w:t xml:space="preserve"> estimate</w:t>
      </w:r>
      <w:r w:rsidR="00FD4762" w:rsidRPr="00C926EC">
        <w:rPr>
          <w:rFonts w:ascii="Arial" w:hAnsi="Arial" w:cs="Arial"/>
          <w:sz w:val="24"/>
          <w:szCs w:val="24"/>
          <w:lang w:val="en-US"/>
        </w:rPr>
        <w:t>d</w:t>
      </w:r>
      <w:r w:rsidRPr="00C926EC">
        <w:rPr>
          <w:rFonts w:ascii="Arial" w:hAnsi="Arial" w:cs="Arial"/>
          <w:sz w:val="24"/>
          <w:szCs w:val="24"/>
          <w:lang w:val="en-US"/>
        </w:rPr>
        <w:t xml:space="preserve"> initially a 4% interest, and </w:t>
      </w:r>
      <w:r w:rsidRPr="00C926EC">
        <w:rPr>
          <w:rFonts w:ascii="Arial" w:hAnsi="Arial" w:cs="Arial"/>
          <w:sz w:val="24"/>
          <w:szCs w:val="24"/>
        </w:rPr>
        <w:fldChar w:fldCharType="begin" w:fldLock="1"/>
      </w:r>
      <w:r w:rsidRPr="00C926EC">
        <w:rPr>
          <w:rFonts w:ascii="Arial" w:hAnsi="Arial" w:cs="Arial"/>
          <w:sz w:val="24"/>
          <w:szCs w:val="24"/>
          <w:lang w:val="en-US"/>
        </w:rPr>
        <w:instrText>ADDIN CSL_CITATION {"citationItems":[{"id":"ITEM-1","itemData":{"DOI":"10.1016/j.renene.2018.12.052","ISSN":"18790682","abstract":"Biogas production and its upgrading to obtain biomethane for use as a transportation fuel has been receiving increasing attention, particularly in Italy. In this work, three commercially developed technologies (Pressure Water Scrubbing, Hot Potassium Carbonate and Pressure Swing Adsorption) are critically compared. Accurate process simulations were carried out to evaluate and optimize the performances in terms of biomethane (and CO 2 ) purity and recovery, as well as specific energy consumption and operating costs, considering a biogas throughput of 500 Nm 3 h −1 . Results from process simulation were used to develop a detailed Discounted Cash Flow analysis of the different technologies, taking into account the recent subsidies issued on March 19th 2018 by the Italian legislation to promote biomethane development. All the three processes here considered are able to recover more than 90% of biomethane, with a purity higher than 98%. The economic analysis revealed that, according to the new incentive mechanism set by the Italian so-called Biomethane Government Decree (Government Decree 19/3/2018) the investment payback time would range between 3 and 6 years and the Net Present Value would be positive, whereas in the absence of any incentive the investment would not be profitable for any of these technologies.","author":[{"dropping-particle":"","family":"Barbera","given":"Elena","non-dropping-particle":"","parse-names":false,"suffix":""},{"dropping-particle":"","family":"Menegon","given":"Silvia","non-dropping-particle":"","parse-names":false,"suffix":""},{"dropping-particle":"","family":"Banzato","given":"Donatella","non-dropping-particle":"","parse-names":false,"suffix":""},{"dropping-particle":"","family":"D'Alpaos","given":"Chiara","non-dropping-particle":"","parse-names":false,"suffix":""},{"dropping-particle":"","family":"Bertucco","given":"Alberto","non-dropping-particle":"","parse-names":false,"suffix":""}],"container-title":"Renewable Energy","id":"ITEM-1","issued":{"date-parts":[["2019"]]},"title":"From biogas to biomethane: A process simulation-based techno-economic comparison of different upgrading technologies in the Italian context","type":"article-journal"},"uris":["http://www.mendeley.com/documents/?uuid=6a07428a-9c57-4d82-8477-afa1666bb6c7"]}],"mendeley":{"formattedCitation":"(Barbera et al., 2019)","manualFormatting":"Barbera et al., 2019","plainTextFormattedCitation":"(Barbera et al., 2019)","previouslyFormattedCitation":"(Barbera et al., 2019)"},"properties":{"noteIndex":0},"schema":"https://github.com/citation-style-language/schema/raw/master/csl-citation.json"}</w:instrText>
      </w:r>
      <w:r w:rsidRPr="00C926EC">
        <w:rPr>
          <w:rFonts w:ascii="Arial" w:hAnsi="Arial" w:cs="Arial"/>
          <w:sz w:val="24"/>
          <w:szCs w:val="24"/>
        </w:rPr>
        <w:fldChar w:fldCharType="separate"/>
      </w:r>
      <w:r w:rsidRPr="00C926EC">
        <w:rPr>
          <w:rFonts w:ascii="Arial" w:hAnsi="Arial" w:cs="Arial"/>
          <w:noProof/>
          <w:sz w:val="24"/>
          <w:szCs w:val="24"/>
          <w:lang w:val="en-US"/>
        </w:rPr>
        <w:t>Barbera et al., 2019</w:t>
      </w:r>
      <w:r w:rsidRPr="00C926EC">
        <w:rPr>
          <w:rFonts w:ascii="Arial" w:hAnsi="Arial" w:cs="Arial"/>
          <w:sz w:val="24"/>
          <w:szCs w:val="24"/>
        </w:rPr>
        <w:fldChar w:fldCharType="end"/>
      </w:r>
      <w:r w:rsidRPr="00C926EC">
        <w:rPr>
          <w:rFonts w:ascii="Arial" w:hAnsi="Arial" w:cs="Arial"/>
          <w:sz w:val="24"/>
          <w:szCs w:val="24"/>
          <w:lang w:val="en-US"/>
        </w:rPr>
        <w:t xml:space="preserve"> fixed this value in 3 and 4% for their analysis. The range is relatively narrow</w:t>
      </w:r>
      <w:r w:rsidR="00FD4762" w:rsidRPr="00C926EC">
        <w:rPr>
          <w:rFonts w:ascii="Arial" w:hAnsi="Arial" w:cs="Arial"/>
          <w:sz w:val="24"/>
          <w:szCs w:val="24"/>
          <w:lang w:val="en-US"/>
        </w:rPr>
        <w:t>,</w:t>
      </w:r>
      <w:r w:rsidRPr="00C926EC">
        <w:rPr>
          <w:rFonts w:ascii="Arial" w:hAnsi="Arial" w:cs="Arial"/>
          <w:sz w:val="24"/>
          <w:szCs w:val="24"/>
          <w:lang w:val="en-US"/>
        </w:rPr>
        <w:t xml:space="preserve"> </w:t>
      </w:r>
      <w:r w:rsidR="00FD4762" w:rsidRPr="00C926EC">
        <w:rPr>
          <w:rFonts w:ascii="Arial" w:hAnsi="Arial" w:cs="Arial"/>
          <w:sz w:val="24"/>
          <w:szCs w:val="24"/>
          <w:lang w:val="en-US"/>
        </w:rPr>
        <w:t>so</w:t>
      </w:r>
      <w:r w:rsidRPr="00C926EC">
        <w:rPr>
          <w:rFonts w:ascii="Arial" w:hAnsi="Arial" w:cs="Arial"/>
          <w:sz w:val="24"/>
          <w:szCs w:val="24"/>
          <w:lang w:val="en-US"/>
        </w:rPr>
        <w:t xml:space="preserve"> we have selected 6% which lays in middle of the range. Still</w:t>
      </w:r>
      <w:r w:rsidR="00FD4762" w:rsidRPr="00C926EC">
        <w:rPr>
          <w:rFonts w:ascii="Arial" w:hAnsi="Arial" w:cs="Arial"/>
          <w:sz w:val="24"/>
          <w:szCs w:val="24"/>
          <w:lang w:val="en-US"/>
        </w:rPr>
        <w:t>,</w:t>
      </w:r>
      <w:r w:rsidRPr="00C926EC">
        <w:rPr>
          <w:rFonts w:ascii="Arial" w:hAnsi="Arial" w:cs="Arial"/>
          <w:sz w:val="24"/>
          <w:szCs w:val="24"/>
          <w:lang w:val="en-US"/>
        </w:rPr>
        <w:t xml:space="preserve"> the influence of this value is later subjected to a sensitivity analysis;  (3) The maintenance and overhead (M&amp;O)</w:t>
      </w:r>
      <w:r w:rsidR="00FD4762" w:rsidRPr="00C926EC">
        <w:rPr>
          <w:rFonts w:ascii="Arial" w:hAnsi="Arial" w:cs="Arial"/>
          <w:sz w:val="24"/>
          <w:szCs w:val="24"/>
          <w:lang w:val="en-US"/>
        </w:rPr>
        <w:t xml:space="preserve"> cost</w:t>
      </w:r>
      <w:r w:rsidRPr="00C926EC">
        <w:rPr>
          <w:rFonts w:ascii="Arial" w:hAnsi="Arial" w:cs="Arial"/>
          <w:sz w:val="24"/>
          <w:szCs w:val="24"/>
          <w:lang w:val="en-US"/>
        </w:rPr>
        <w:t xml:space="preserve"> (</w:t>
      </w:r>
      <w:proofErr w:type="spellStart"/>
      <w:r w:rsidRPr="00C926EC">
        <w:rPr>
          <w:rFonts w:ascii="Arial" w:hAnsi="Arial" w:cs="Arial"/>
          <w:sz w:val="24"/>
          <w:szCs w:val="24"/>
          <w:lang w:val="en-US"/>
        </w:rPr>
        <w:t>C</w:t>
      </w:r>
      <w:r w:rsidRPr="00C926EC">
        <w:rPr>
          <w:rFonts w:ascii="Arial" w:hAnsi="Arial" w:cs="Arial"/>
          <w:sz w:val="24"/>
          <w:szCs w:val="24"/>
          <w:vertAlign w:val="subscript"/>
          <w:lang w:val="en-US"/>
        </w:rPr>
        <w:t>moBU</w:t>
      </w:r>
      <w:proofErr w:type="spellEnd"/>
      <w:r w:rsidRPr="00C926EC">
        <w:rPr>
          <w:rFonts w:ascii="Arial" w:hAnsi="Arial" w:cs="Arial"/>
          <w:sz w:val="24"/>
          <w:szCs w:val="24"/>
          <w:lang w:val="en-US"/>
        </w:rPr>
        <w:t>), calculated through a percentage of the investment (</w:t>
      </w:r>
      <w:proofErr w:type="spellStart"/>
      <w:r w:rsidRPr="00C926EC">
        <w:rPr>
          <w:rFonts w:ascii="Arial" w:hAnsi="Arial" w:cs="Arial"/>
          <w:sz w:val="24"/>
          <w:szCs w:val="24"/>
          <w:lang w:val="en-US"/>
        </w:rPr>
        <w:t>p</w:t>
      </w:r>
      <w:r w:rsidRPr="00C926EC">
        <w:rPr>
          <w:rFonts w:ascii="Arial" w:hAnsi="Arial" w:cs="Arial"/>
          <w:sz w:val="24"/>
          <w:szCs w:val="24"/>
          <w:vertAlign w:val="subscript"/>
          <w:lang w:val="en-US"/>
        </w:rPr>
        <w:t>moBU</w:t>
      </w:r>
      <w:proofErr w:type="spellEnd"/>
      <w:r w:rsidRPr="00C926EC">
        <w:rPr>
          <w:rFonts w:ascii="Arial" w:hAnsi="Arial" w:cs="Arial"/>
          <w:sz w:val="24"/>
          <w:szCs w:val="24"/>
          <w:lang w:val="en-US"/>
        </w:rPr>
        <w:t xml:space="preserve">), as previously done in many works </w:t>
      </w:r>
      <w:r w:rsidRPr="00C926EC">
        <w:rPr>
          <w:rFonts w:ascii="Arial" w:hAnsi="Arial" w:cs="Arial"/>
          <w:sz w:val="24"/>
          <w:szCs w:val="24"/>
        </w:rPr>
        <w:fldChar w:fldCharType="begin" w:fldLock="1"/>
      </w:r>
      <w:r w:rsidRPr="00C926EC">
        <w:rPr>
          <w:rFonts w:ascii="Arial" w:hAnsi="Arial" w:cs="Arial"/>
          <w:sz w:val="24"/>
          <w:szCs w:val="24"/>
          <w:lang w:val="en-US"/>
        </w:rPr>
        <w:instrText>ADDIN CSL_CITATION {"citationItems":[{"id":"ITEM-1","itemData":{"DOI":"10.3390/app9112221","ISSN":"20763417","abstract":"This work focuses on the profitability of biomethane plants and the environmental benefits obtained recovering the organic fraction of municipal solid waste in Italy. The economic model is based on the calculations of the net present value, considering multiple capacities of biomethane production (ranging from 50 to 500 m3/h) and alternative scenarios based on the variation in subsidies, the selling price of biomethane, and the net revenues from the treatment of organic waste. The environmental analysis quantifies the reduction in greenhouse gas emissions obtained by natural gas vehicles fueled by biomethane. The economic and environmental results encourage energy change that can be achieved by municipalities that support the transformation of natural resources into green fuels. Across 15 Italian municipalities, the potential biomethane production varies from 80.4 million m3/year to 102.8 million m3/year, with an overall net present value ranging from 135 to 187 million €. In addition, the reduction in greenhouse gas emissions varies from 127 to 162 thousand-ton CO2eq/year. Both the economic and environmental results demonstrate that biome</w:instrText>
      </w:r>
      <w:r w:rsidRPr="00C926EC">
        <w:rPr>
          <w:rFonts w:ascii="Arial" w:hAnsi="Arial" w:cs="Arial"/>
          <w:sz w:val="24"/>
          <w:szCs w:val="24"/>
        </w:rPr>
        <w:instrText xml:space="preserve">thane is a renewable resource with added value for municipalities.","author":[{"dropping-particle":"","family":"Cucchiella","given":"Federica","non-dropping-particle":"","parse-names":false,"suffix":""},{"dropping-particle":"","family":"D'Adamo","given":"Idiano","non-dropping-particle":"","parse-names":false,"suffix":""},{"dropping-particle":"","family":"Gastaldi","given":"Massimo","non-dropping-particle":"","parse-names":false,"suffix":""}],"container-title":"Applied Sciences (Switzerland)","id":"ITEM-1","issued":{"date-parts":[["2019"]]},"title":"Sustainable Italian cities: The added value of biomethane from organic waste","type":"article-journal"},"uris":["http://www.mendeley.com/documents/?uuid=c0b1d35d-17e0-4065-9e17-7acd90a175dc"]},{"id":"ITEM-2","itemData":{"DOI":"10.1016/j.enconman.2016.04.058","ISSN":"01968904","abstract":"Biomethane is a renewable energy useful to encourage the transition to a sustainable energy future. Incentive policies favour its development and consequently this paper evaluates the economic performance for use of biomethane fed into the grid, destined for cogeneration or sold as vehicle fuel. A mathematical model is proposed and the indicators used are Net Present Value and Discounted Payback Time. This paper aims to evaluate the financial feasibility of biomethane plants in function of the plant size (100 m 3 /h, 250 m 3 /h, 500 m 3 /h, 1000 m 3 /h) and the feedstock used (organic fraction of municipal solid waste and a mixture of 30% maize and 70% manure residues on a weight basis) for each final destination of biomethane. Furthermore, a sensitivity analysis on the critical variables is conducted and 356 case studies are overall assessed. The results of the paper demonstrate that the profitability of biomethane plants is verified in several scenarios and it is strongly linked to the subsidies. Biomethane used as vehicle fuel presents greater financial results favouring the increase of share of renewable energy in transport sector and environmental improvements are obtained.","author":[{"dropping-particle":"","family":"Cucchiella","given":"Federica","non-dropping-particle":"","parse-names":false,"suffix":""},{"dropping-particle":"","family":"D'Adamo","given":"Idiano","non-dropping-particle":"","parse-names":false,"suffix":""}],"container-title":"Energy Conversion and Management","id":"ITEM-2","issued":{"date-parts":[["2016"]]},"title":"Technical and economic analysis of biomethane: A focus on the role of subsidies","type":"article-journal"},"uris":["http://www.mendeley.com/documents/?uuid=1397b4d5-3241-4217-be6a-943e2bf04af2"]},{"id":"ITEM-3","itemData":{"DOI":"10.1016/j.jclepro.2019.05.116","ISSN":"09596526","abstract":"The green revolution represents a substantial investment plan on renewable energy resources (RESs) reducing the country's dependence on fossil fuels energy. Currently, some resources are not completely exploited and the transformation of waste residues into green energy is able to develop circular economy models. Europe has a great potential coming from animal residues and the transport sector has a weak growth of RESs. Biomethane, also called green gas, is a possible valid solution. This work provides an economic analysis regarding both biogas and biomethane plants that use several typologies of animal residues. Net Present Value (NPV) and Discounted Payback Time (DPBT) are used as indexes. The production of electricity by biogas plants contributes to reducing the levels of emissions, but its upgrading can conduct to increase environmental performance. This is not coupled with an increase in profits. Results of the work define the minimum size in which both biogas and biomethane plants are profitable and the key-role of subsidies trying to provide policy guidance to governments and planners.","author":[{"dropping-particle":"","family":"Cucchiella","given":"Federica","non-dropping-particle":"","parse-names":false,"suffix":""},{"dropping-particle":"","family":"D'Adamo","given":"Idiano","non-dropping-particle":"","parse-names":false,"suffix":""},{"dropping-particle":"","family":"Gastaldi","given":"Massimo","non-dropping-particle":"","parse-names":false,"suffix":""}],"container-title":"Journal of Cleaner Production","id":"ITEM-3","issued":{"date-parts":[["2019"]]},"title":"An economic analysis of biogas-biomethane chain from animal residues in Italy","type":"article-journal"},"uris":["http://www.mendeley.com/documents/?uuid=031265b9-16e7-4100-a4a7-97606e909e91"]},{"id":"ITEM-4","itemData":{"DOI":"10.1016/j.jclepro.2018.02.243","ISSN":"09596526","abstract":"Biomethane is a promising renewable energy carrier with the potential to diversify and decarbonise natural gas. It is produced from a range of waste sources and can be distributed into the natural gas grid or used as a vehicle fuel or converted into in cogeneration units. The economic evaluation of small plants for biomethane injection into the gas grid is not well defined in literature. This paper proposes a mathematical and economic model useful to evaluate the profitability of these plants in according to Discounted Cash Flow (DCF) method. The indicators used are Net Present Value (NPV), Discounted Payback Time (DPBT), Internal Rate of Return (IRR) and Profitability Index (PI). The baseline case studies analyse three different small-scale sizes (50 m3/h, 100 m3/h and 150 m3/h) concerning two typologies of substrates (organic fraction of municipal solid waste (ofmsw) and a mixture of maize and manure residues). Results define that the profitability is verified only for 150 m3/h ofmsw plant in baseline case study (NPV is 615,694 €, DPBT is 3 y, IRR is 33% and PI is 0.18). Furthermore, alternative case studies are conducted on the main critical variables (subsidies, investment costs of biogas production, transport costs of substrates and percentage of maintenance and overhead costs in biogas production). The economic feasibility can be reached in the following case studies: 100 m3/h ofmsw plant in sensitivity analysis, 50 m3/h ofmsw plant in scenario analysis, 150 m3/h mixed plant in scenario analysis with a new incentive scheme and 100 m3/h manure residues plant in scenario analysis. The biomethane can contribute to develop the circular economy recovering a wide range of waste.","author":[{"dropping-particle":"","family":"Cucchiella","given":"Federica","non-dropping-particle":"","parse-names":false,"suffix":""},{"dropping-particle":"","family":"D'Adamo","given":"Idiano","non-dropping-particle":"","parse-names":false,"suffix":""},{"dropping-particle":"","family":"Gastaldi","given":"Massimo","non-dropping-particle":"","parse-names":false,"suffix":""},{"dropping-particle":"","family":"Miliacca","given":"Michela","non-dropping-particle":"","parse-names":false,"suffix":""}],"container-title":"Journal of Cleaner Production","id":"ITEM-4","issued":{"date-parts":[["2018"]]},"title":"A profitability analysis of small-scale plants for biomethane injection into the gas grid","type":"article-journal"},"uris":["http://www.mendeley.com/documents/?uuid=651840ed-9a94-4090-be81-6df054153eb6"]},{"id":"ITEM-5","itemData":{"DOI":"10.1016/j.energy.2020.118158","ISSN":"03605442","abstract":"A novel analysis addresses the economic viability of biomethane production from small biogas plants in South Spain, as a claim to promote the use of green energy and reduce the consumption of natural gas. To this end, the importance of governmental incentives to reach profitability in biomethane plants is illustrated through a case study. To date, no study addressing this problem specifically for South Spain can be found. The study considers the whole process from biogas production to biomethane feeding into the grid, for three different biomethane capacities (50, 100 and 150 m3/h) and includes an exhaustive sensitivity analysis. For the three cases, implementing a biomethane plant is not viable and, therefore, not attractive for investors. Results considering biomethane governmental incentives as feed-in premia show significant improvements on the profitability of the largest plants. For example, supporting 150 m3/h biomethane production capacity plants with a premium price of only 6 €/MWh (6.6 cents/m3) results in 270 k€ NPV. Nevertheless, the smallest biomethane plants are hardly feasible. Concerning governmental support through investment subsidies, 150 m3/h plants are profitable if 10% of the investment is subsidized, whereas the smallest plants do not reach profitability even if 50% of the investment is subsidized.","author":[{"dropping-particle":"","family":"Baena-Moreno","given":"Francisco M.","non-dropping-particle":"","parse-names":false,"suffix":""},{"dropping-particle":"","family":"Malico","given":"Isabel","non-dropping-particle":"","parse-names":false,"suffix":""},{"dropping-particle":"","family":"Rodríguez-Galán","given":"Mónica","non-dropping-particle":"","parse-names":false,"suffix":""},{"dropping-particle":"","family":"Serrano","given":"Antonio","non-dropping-particle":"","parse-names":false,"suffix":""},{"dropping-particle":"","family":"Fermoso","given":"Fernando G.","non-dropping-particle":"","parse-names":false,"suffix":""},{"dropping-particle":"","family":"Navarrete","given":"Benito","non-dropping-particle":"","parse-names":false,"suffix":""}],"container-title":"Energy","id":"ITEM-5","issued":{"date-parts":[["2020"]]},"title":"The importance of governmental incentives for small biomethane plants in South Spain","type":"article-journal"},"uris":["http://www.mendeley.com/documents/?uuid=56c3ae58-6318-4622-82e7-bb5a8f328a04"]},{"id":"ITEM-6","itemData":{"DOI":"10.3390/SU13168933","abstract":"Wastewater treatment plants (WWTP) located in regions far from a high-pressure grid can produce renewable biomethane, which can partially substitute the natural gas locally consumed. However, the economic viability of implementing biomethane plants in WWTP has to be guaranteed. This paper uses the discount cash flow method to analyze the economic viability of producing biomethane in a WWTP located in Évora (Portugal). The results show that, under the current conditions, it is unprofitable to produce biomethane in this WWTP. Since selling the CO2 separated from biogas may result in an additional income, this option was also considered. In this case, a price of 46 EUR/t CO2 has to be paid to make the project viable. Finally, the impact of potential government incentives in the form of feed-in premia was investigated. Without selling CO2, the project would only be profitable for feed-in premia above 55.5 EUR/MWh. If all the CO2 produced was sold at 30 EUR/t CO2, a premium price of 20 EUR/MWh would make the project profitable. This study shows that the economic attractiveness of producing biomethane in small WWTP is only secured through sufficient financial incentives, which are vital for developing the biomethane market with all its </w:instrText>
      </w:r>
      <w:r w:rsidRPr="00C926EC">
        <w:rPr>
          <w:rFonts w:ascii="Arial" w:hAnsi="Arial" w:cs="Arial"/>
          <w:sz w:val="24"/>
          <w:szCs w:val="24"/>
          <w:lang w:val="en-US"/>
        </w:rPr>
        <w:instrText>associated advantages.","author":[{"dropping-particle":"","family":"Baena-Moreno","given":"Francisco M.","non-dropping-particle":"","parse-names":false,"suffix":""},{"dropping-particle":"","family":"Malico","given":"Isabel","non-dropping-particle":"","parse-names":false,"suffix":""},{"dropping-particle":"","family":"Marques","given":"Isabel Paula","non-dropping-particle":"","parse-names":false,"suffix":""}],"container-title":"Sustainability 2021, Vol. 13, Page 8933","id":"ITEM-6","issue":"16","issued":{"date-parts":[["2021","8","10"]]},"page":"8933","publisher":"Multidisciplinary Digital Publishing Institute","title":"Promoting Sustainability: Wastewater Treatment Plants as a Source of Biomethane in Regions Far from a High-Pressure Grid. A Real Portuguese Case Study","type":"article-journal","volume":"13"},"uris":["http://www.mendeley.com/documents/?uuid=a2c9316d-bc62-3bf5-821d-57840c18f0b1"]}],"mendeley":{"formattedCitation":"(Baena-Moreno et al., 2020b; Francisco M. Baena-Moreno et al., 2021; Cucchiella et al., 2019b, 2019a, 2018; Cucchiella and D’Adamo, 2016)","plainTextFormattedCitation":"(Baena-Moreno et al., 2020b; Francisco M. Baena-Moreno et al., 2021; Cucchiella et al., 2019b, 2019a, 2018; Cucchiella and D’Adamo, 2016)","previouslyFormattedCitation":"(Baena-Moreno et al., 2020b; Cucchiella et al., 2019b, 2019a, 2018; Cucchiella and D’Adamo, 2016)"},"properties":{"noteIndex":0},"schema":"https://github.com/citation-style-language/schema/raw/master/csl-citation.json"}</w:instrText>
      </w:r>
      <w:r w:rsidRPr="00C926EC">
        <w:rPr>
          <w:rFonts w:ascii="Arial" w:hAnsi="Arial" w:cs="Arial"/>
          <w:sz w:val="24"/>
          <w:szCs w:val="24"/>
        </w:rPr>
        <w:fldChar w:fldCharType="separate"/>
      </w:r>
      <w:r w:rsidRPr="00C926EC">
        <w:rPr>
          <w:rFonts w:ascii="Arial" w:hAnsi="Arial" w:cs="Arial"/>
          <w:noProof/>
          <w:sz w:val="24"/>
          <w:szCs w:val="24"/>
          <w:lang w:val="en-US"/>
        </w:rPr>
        <w:t>(Baena-Moreno et al., 2020b; Baena-Moreno et al., 2021; Cucchiella et al., 2019b, 2019a, 2018; Cucchiella and D’Adamo, 2016)</w:t>
      </w:r>
      <w:r w:rsidRPr="00C926EC">
        <w:rPr>
          <w:rFonts w:ascii="Arial" w:hAnsi="Arial" w:cs="Arial"/>
          <w:sz w:val="24"/>
          <w:szCs w:val="24"/>
        </w:rPr>
        <w:fldChar w:fldCharType="end"/>
      </w:r>
      <w:r w:rsidRPr="00C926EC">
        <w:rPr>
          <w:rFonts w:ascii="Arial" w:hAnsi="Arial" w:cs="Arial"/>
          <w:sz w:val="24"/>
          <w:szCs w:val="24"/>
          <w:lang w:val="en-US"/>
        </w:rPr>
        <w:t>; (4) Furthermore, for biogas upgrading stage, the following parameters must be considered: depreciation (</w:t>
      </w:r>
      <w:proofErr w:type="spellStart"/>
      <w:r w:rsidRPr="00C926EC">
        <w:rPr>
          <w:rFonts w:ascii="Arial" w:hAnsi="Arial" w:cs="Arial"/>
          <w:sz w:val="24"/>
          <w:szCs w:val="24"/>
          <w:lang w:val="en-US"/>
        </w:rPr>
        <w:t>C</w:t>
      </w:r>
      <w:r w:rsidRPr="00C926EC">
        <w:rPr>
          <w:rFonts w:ascii="Arial" w:hAnsi="Arial" w:cs="Arial"/>
          <w:sz w:val="24"/>
          <w:szCs w:val="24"/>
          <w:vertAlign w:val="subscript"/>
          <w:lang w:val="en-US"/>
        </w:rPr>
        <w:t>dfBU</w:t>
      </w:r>
      <w:proofErr w:type="spellEnd"/>
      <w:r w:rsidRPr="00C926EC">
        <w:rPr>
          <w:rFonts w:ascii="Arial" w:hAnsi="Arial" w:cs="Arial"/>
          <w:sz w:val="24"/>
          <w:szCs w:val="24"/>
          <w:lang w:val="en-US"/>
        </w:rPr>
        <w:t>), insurance (</w:t>
      </w:r>
      <w:proofErr w:type="spellStart"/>
      <w:r w:rsidRPr="00C926EC">
        <w:rPr>
          <w:rFonts w:ascii="Arial" w:hAnsi="Arial" w:cs="Arial"/>
          <w:sz w:val="24"/>
          <w:szCs w:val="24"/>
          <w:lang w:val="en-US"/>
        </w:rPr>
        <w:t>C</w:t>
      </w:r>
      <w:r w:rsidRPr="00C926EC">
        <w:rPr>
          <w:rFonts w:ascii="Arial" w:hAnsi="Arial" w:cs="Arial"/>
          <w:sz w:val="24"/>
          <w:szCs w:val="24"/>
          <w:vertAlign w:val="subscript"/>
          <w:lang w:val="en-US"/>
        </w:rPr>
        <w:t>insBU</w:t>
      </w:r>
      <w:proofErr w:type="spellEnd"/>
      <w:r w:rsidRPr="00C926EC">
        <w:rPr>
          <w:rFonts w:ascii="Arial" w:hAnsi="Arial" w:cs="Arial"/>
          <w:sz w:val="24"/>
          <w:szCs w:val="24"/>
          <w:lang w:val="en-US"/>
        </w:rPr>
        <w:t>) and installation (</w:t>
      </w:r>
      <w:proofErr w:type="spellStart"/>
      <w:r w:rsidRPr="00C926EC">
        <w:rPr>
          <w:rFonts w:ascii="Arial" w:hAnsi="Arial" w:cs="Arial"/>
          <w:sz w:val="24"/>
          <w:szCs w:val="24"/>
          <w:lang w:val="en-US"/>
        </w:rPr>
        <w:t>C</w:t>
      </w:r>
      <w:r w:rsidRPr="00C926EC">
        <w:rPr>
          <w:rFonts w:ascii="Arial" w:hAnsi="Arial" w:cs="Arial"/>
          <w:sz w:val="24"/>
          <w:szCs w:val="24"/>
          <w:vertAlign w:val="subscript"/>
          <w:lang w:val="en-US"/>
        </w:rPr>
        <w:t>instBU</w:t>
      </w:r>
      <w:proofErr w:type="spellEnd"/>
      <w:r w:rsidRPr="00C926EC">
        <w:rPr>
          <w:rFonts w:ascii="Arial" w:hAnsi="Arial" w:cs="Arial"/>
          <w:sz w:val="24"/>
          <w:szCs w:val="24"/>
          <w:lang w:val="en-US"/>
        </w:rPr>
        <w:t>)</w:t>
      </w:r>
      <w:r w:rsidR="00FD4762" w:rsidRPr="00C926EC">
        <w:rPr>
          <w:rFonts w:ascii="Arial" w:hAnsi="Arial" w:cs="Arial"/>
          <w:sz w:val="24"/>
          <w:szCs w:val="24"/>
          <w:lang w:val="en-US"/>
        </w:rPr>
        <w:t xml:space="preserve"> costs</w:t>
      </w:r>
      <w:r w:rsidRPr="00C926EC">
        <w:rPr>
          <w:rFonts w:ascii="Arial" w:hAnsi="Arial" w:cs="Arial"/>
          <w:sz w:val="24"/>
          <w:szCs w:val="24"/>
          <w:lang w:val="en-US"/>
        </w:rPr>
        <w:t>, usually estimated as percentages of the investment (</w:t>
      </w:r>
      <m:oMath>
        <m:sSub>
          <m:sSubPr>
            <m:ctrlPr>
              <w:rPr>
                <w:rFonts w:ascii="Cambria Math" w:hAnsi="Cambria Math" w:cs="Arial"/>
                <w:sz w:val="24"/>
                <w:szCs w:val="24"/>
              </w:rPr>
            </m:ctrlPr>
          </m:sSubPr>
          <m:e>
            <m:r>
              <m:rPr>
                <m:sty m:val="p"/>
              </m:rPr>
              <w:rPr>
                <w:rFonts w:ascii="Cambria Math" w:hAnsi="Cambria Math" w:cs="Arial"/>
                <w:sz w:val="24"/>
                <w:szCs w:val="24"/>
                <w:lang w:val="en-US"/>
              </w:rPr>
              <m:t>p</m:t>
            </m:r>
          </m:e>
          <m:sub>
            <m:r>
              <m:rPr>
                <m:sty m:val="p"/>
              </m:rPr>
              <w:rPr>
                <w:rFonts w:ascii="Cambria Math" w:hAnsi="Cambria Math" w:cs="Arial"/>
                <w:sz w:val="24"/>
                <w:szCs w:val="24"/>
                <w:lang w:val="en-US"/>
              </w:rPr>
              <m:t>df</m:t>
            </m:r>
          </m:sub>
        </m:sSub>
      </m:oMath>
      <w:r w:rsidRPr="00C926EC">
        <w:rPr>
          <w:rFonts w:ascii="Arial" w:hAnsi="Arial" w:cs="Arial"/>
          <w:sz w:val="24"/>
          <w:szCs w:val="24"/>
          <w:lang w:val="en-US"/>
        </w:rPr>
        <w:t>,</w:t>
      </w:r>
      <m:oMath>
        <m:r>
          <m:rPr>
            <m:sty m:val="p"/>
          </m:rPr>
          <w:rPr>
            <w:rFonts w:ascii="Cambria Math" w:eastAsiaTheme="minorEastAsia" w:hAnsi="Cambria Math" w:cs="Arial"/>
            <w:sz w:val="24"/>
            <w:szCs w:val="24"/>
            <w:lang w:val="en-US"/>
          </w:rPr>
          <m:t xml:space="preserve"> </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lang w:val="en-US"/>
              </w:rPr>
              <m:t>p</m:t>
            </m:r>
          </m:e>
          <m:sub>
            <m:r>
              <m:rPr>
                <m:sty m:val="p"/>
              </m:rPr>
              <w:rPr>
                <w:rFonts w:ascii="Cambria Math" w:eastAsiaTheme="minorEastAsia" w:hAnsi="Cambria Math" w:cs="Arial"/>
                <w:sz w:val="24"/>
                <w:szCs w:val="24"/>
                <w:lang w:val="en-US"/>
              </w:rPr>
              <m:t>ins</m:t>
            </m:r>
          </m:sub>
        </m:sSub>
      </m:oMath>
      <w:r w:rsidRPr="00C926EC">
        <w:rPr>
          <w:rFonts w:ascii="Arial" w:hAnsi="Arial" w:cs="Arial"/>
          <w:sz w:val="24"/>
          <w:szCs w:val="24"/>
          <w:lang w:val="en-US"/>
        </w:rPr>
        <w:t xml:space="preserve">, </w:t>
      </w:r>
      <m:oMath>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lang w:val="en-US"/>
              </w:rPr>
              <m:t>p</m:t>
            </m:r>
          </m:e>
          <m:sub>
            <m:r>
              <m:rPr>
                <m:sty m:val="p"/>
              </m:rPr>
              <w:rPr>
                <w:rFonts w:ascii="Cambria Math" w:eastAsiaTheme="minorEastAsia" w:hAnsi="Cambria Math" w:cs="Arial"/>
                <w:sz w:val="24"/>
                <w:szCs w:val="24"/>
                <w:lang w:val="en-US"/>
              </w:rPr>
              <m:t>inst</m:t>
            </m:r>
          </m:sub>
        </m:sSub>
      </m:oMath>
      <w:r w:rsidRPr="00C926EC">
        <w:rPr>
          <w:rFonts w:ascii="Arial" w:hAnsi="Arial" w:cs="Arial"/>
          <w:sz w:val="24"/>
          <w:szCs w:val="24"/>
          <w:lang w:val="en-US"/>
        </w:rPr>
        <w:t xml:space="preserve">) </w:t>
      </w:r>
      <w:r w:rsidRPr="00C926EC">
        <w:rPr>
          <w:rFonts w:ascii="Arial" w:hAnsi="Arial" w:cs="Arial"/>
          <w:sz w:val="24"/>
          <w:szCs w:val="24"/>
        </w:rPr>
        <w:fldChar w:fldCharType="begin" w:fldLock="1"/>
      </w:r>
      <w:r w:rsidRPr="00C926EC">
        <w:rPr>
          <w:rFonts w:ascii="Arial" w:hAnsi="Arial" w:cs="Arial"/>
          <w:sz w:val="24"/>
          <w:szCs w:val="24"/>
          <w:lang w:val="en-US"/>
        </w:rPr>
        <w:instrText>ADDIN CSL_CITATION {"citationItems":[{"id":"ITEM-1","itemData":{"DOI":"10.1016/j.energy.2020.118158","ISSN":"03605442","abstract":"A novel analysis addresses the economic viability of biomethane production from small biogas plants in South Spain, as a claim to promote the use of green energy and reduce the consumption of natural gas. To this end, the importance of governmental incentives to reach profitability in biomethane plants is illustrated through a case study. To date, no study addressing this problem specifically for South Spain can be found. The study considers the whole process from biogas production to biomethane feeding into the grid, for three different biomethane capacities (50, 100 and 150 m3/h) and includes an exhaustive sensitivity analysis. For the three cases, implementing a biomethane plant is not viable and, therefore, not attractive for investors. Results considering biomethane governmental incentives as feed-in premia show significant improvements on the profitability of the largest plants. For example, supporting 150 m3/h biomethane production capacity plants with a premium price of only 6 €/M</w:instrText>
      </w:r>
      <w:r w:rsidRPr="00C926EC">
        <w:rPr>
          <w:rFonts w:ascii="Arial" w:hAnsi="Arial" w:cs="Arial"/>
          <w:sz w:val="24"/>
          <w:szCs w:val="24"/>
        </w:rPr>
        <w:instrText>Wh (6.6 cents/m3) results in 270 k€ NPV. Nevertheless, the smallest biomethane plants are hardly feasible. Concerning governmental support through investment subsidies, 150 m3/h plants are p</w:instrText>
      </w:r>
      <w:r w:rsidRPr="00C926EC">
        <w:rPr>
          <w:rFonts w:ascii="Arial" w:hAnsi="Arial" w:cs="Arial"/>
          <w:sz w:val="24"/>
          <w:szCs w:val="24"/>
          <w:lang w:val="en-US"/>
        </w:rPr>
        <w:instrText>rofitable if 10% of the investment is subsidized, whereas the smallest plants do not reach profitability even if 50% of the investment is subsidized.","author":[{"dropping-particle":"","family":"Baena-Moreno","given":"Francisco M.","non-dropping-particle":"","parse-names":false,"suffix":""},{"dropping-particle":"","family":"Malico","given":"Isabel","non-dropping-particle":"","parse-names":false,"suffix":""},{"dropping-particle":"","family":"Rodríguez-Galán","given":"Mónica","non-dropping-particle":"","parse-names":false,"suffix":""},{"dropping-particle":"","family":"Serrano","given":"Antonio","non-dropping-particle":"","parse-names":false,"suffix":""},{"dropping-particle":"","family":"Fermoso","given":"Fernando G.","non-dropping-particle":"","parse-names":false,"suffix":""},{"dropping-particle":"","family":"Navarrete","given":"Benito","non-dropping-particle":"","parse-names":false,"suffix":""}],"container-title":"Energy","id":"ITEM-1","issued":{"date-parts":[["2020"]]},"title":"The importance of governmental incentives for small biomethane plants in South Spain","type":"article-journal"},"uris":["http://www.mendeley.com/documents/?uuid=56c3ae58-6318-4622-82e7-bb5a8f328a04"]}],"mendeley":{"formattedCitation":"(Baena-Moreno et al., 2020b)","plainTextFormattedCitation":"(Baena-Moreno et al., 2020b)","previouslyFormattedCitation":"(Baena-Moreno et al., 2020b)"},"properties":{"noteIndex":0},"schema":"https://github.com/citation-style-language/schema/raw/master/csl-citation.json"}</w:instrText>
      </w:r>
      <w:r w:rsidRPr="00C926EC">
        <w:rPr>
          <w:rFonts w:ascii="Arial" w:hAnsi="Arial" w:cs="Arial"/>
          <w:sz w:val="24"/>
          <w:szCs w:val="24"/>
        </w:rPr>
        <w:fldChar w:fldCharType="separate"/>
      </w:r>
      <w:r w:rsidRPr="00C926EC">
        <w:rPr>
          <w:rFonts w:ascii="Arial" w:hAnsi="Arial" w:cs="Arial"/>
          <w:noProof/>
          <w:sz w:val="24"/>
          <w:szCs w:val="24"/>
          <w:lang w:val="en-US"/>
        </w:rPr>
        <w:t>(Baena-Moreno et al., 2020b)</w:t>
      </w:r>
      <w:r w:rsidRPr="00C926EC">
        <w:rPr>
          <w:rFonts w:ascii="Arial" w:hAnsi="Arial" w:cs="Arial"/>
          <w:sz w:val="24"/>
          <w:szCs w:val="24"/>
        </w:rPr>
        <w:fldChar w:fldCharType="end"/>
      </w:r>
      <w:r w:rsidRPr="00C926EC">
        <w:rPr>
          <w:rFonts w:ascii="Arial" w:hAnsi="Arial" w:cs="Arial"/>
          <w:sz w:val="24"/>
          <w:szCs w:val="24"/>
          <w:lang w:val="en-US"/>
        </w:rPr>
        <w:t>; and the electricity consumption for biogas upgrading (C</w:t>
      </w:r>
      <w:r w:rsidRPr="00C926EC">
        <w:rPr>
          <w:rFonts w:ascii="Arial" w:hAnsi="Arial" w:cs="Arial"/>
          <w:sz w:val="24"/>
          <w:szCs w:val="24"/>
          <w:vertAlign w:val="subscript"/>
          <w:lang w:val="en-US"/>
        </w:rPr>
        <w:t>ue</w:t>
      </w:r>
      <w:r w:rsidRPr="00C926EC">
        <w:rPr>
          <w:rFonts w:ascii="Arial" w:hAnsi="Arial" w:cs="Arial"/>
          <w:sz w:val="24"/>
          <w:szCs w:val="24"/>
          <w:lang w:val="en-US"/>
        </w:rPr>
        <w:t>), based on data o</w:t>
      </w:r>
      <w:r w:rsidR="00FD4762" w:rsidRPr="00C926EC">
        <w:rPr>
          <w:rFonts w:ascii="Arial" w:hAnsi="Arial" w:cs="Arial"/>
          <w:sz w:val="24"/>
          <w:szCs w:val="24"/>
          <w:lang w:val="en-US"/>
        </w:rPr>
        <w:t>f</w:t>
      </w:r>
      <w:r w:rsidRPr="00C926EC">
        <w:rPr>
          <w:rFonts w:ascii="Arial" w:hAnsi="Arial" w:cs="Arial"/>
          <w:sz w:val="24"/>
          <w:szCs w:val="24"/>
          <w:lang w:val="en-US"/>
        </w:rPr>
        <w:t xml:space="preserve"> consumption</w:t>
      </w:r>
      <w:r w:rsidR="00FD4762" w:rsidRPr="00C926EC">
        <w:rPr>
          <w:rFonts w:ascii="Arial" w:hAnsi="Arial" w:cs="Arial"/>
          <w:sz w:val="24"/>
          <w:szCs w:val="24"/>
          <w:lang w:val="en-US"/>
        </w:rPr>
        <w:t>,</w:t>
      </w:r>
      <w:r w:rsidRPr="00C926EC">
        <w:rPr>
          <w:rFonts w:ascii="Arial" w:hAnsi="Arial" w:cs="Arial"/>
          <w:sz w:val="24"/>
          <w:szCs w:val="24"/>
          <w:lang w:val="en-US"/>
        </w:rPr>
        <w:t xml:space="preserve"> gathered from literature </w:t>
      </w:r>
      <w:r w:rsidRPr="00C926EC">
        <w:rPr>
          <w:rFonts w:ascii="Arial" w:hAnsi="Arial" w:cs="Arial"/>
          <w:sz w:val="24"/>
          <w:szCs w:val="24"/>
        </w:rPr>
        <w:fldChar w:fldCharType="begin" w:fldLock="1"/>
      </w:r>
      <w:r w:rsidRPr="00C926EC">
        <w:rPr>
          <w:rFonts w:ascii="Arial" w:hAnsi="Arial" w:cs="Arial"/>
          <w:sz w:val="24"/>
          <w:szCs w:val="24"/>
          <w:lang w:val="en-US"/>
        </w:rPr>
        <w:instrText>ADDIN CSL_CITATION {"citationItems":[{"id":"ITEM-1","itemData":{"DOI":"10.3390/app9112221","ISSN":"20763417","abstract":"This work focuses on the profitability of biomethane plants and the environmental benefits obtained recovering the organic fraction of municipal solid waste in Italy. The economic model is based on the calculations of the net present value, considering multiple capacities of biomethane production (ranging from 50 to 500 m3/h) and alternative scenarios based on the variation in subsidies, the selling price of biomethane, and the net revenues from the treatment of organic waste. The environmental analysis quantifies the reduction in greenhouse gas emissions obtained by natural gas vehicles fueled by biomethane. The economic and environmental results encourage energy change that can be achieved by municipalities that support the transformation of natural resources into green fuels. Across 15 Italian municipalities, the potential biomethane production varies from 80.4 million m3/year to 102.8 million m3/year, with an overall net present value ranging from 135 to 187 million €. In addition, the reduction in greenhouse gas emissions varies from 127 to 162 thousand-ton CO2eq/year. Both the economic and environmental results demonstrate that biomethane is a renewable resource with added value for municipalities.","author"</w:instrText>
      </w:r>
      <w:r w:rsidRPr="00C926EC">
        <w:rPr>
          <w:rFonts w:ascii="Arial" w:hAnsi="Arial" w:cs="Arial"/>
          <w:sz w:val="24"/>
          <w:szCs w:val="24"/>
        </w:rPr>
        <w:instrText>:[{"dropping-particle":"","family":"Cucchiella","given":"Federica","non-dropping-particle":"","parse-names":false,"suffix":""},{"dropping-particle":"","family":"D'Adamo","given":"Idiano","non-dropping-particle":"","parse-names":false,"suffix":""},{"dropping-particle":"","family":"Gastaldi","given":"Massimo","non-dropping-particle":"","parse-names":false,"suffix":""}],"container-title":"Applied Sciences (Switzerland)","id":"ITEM-1","issued":{"date-parts":[["2019"]]},"title":"Sustainable Italian cities: The added value of biomethane from organic waste","type":"article-journal"},"uris":["http://www.mendeley.com/documents/?uuid=c0b1d35d-17e0-4065-9e17-7acd90a175dc"]},{"id":"ITEM-2","itemData":{"DOI":"10.1016/j.enconman.2016.04.058","ISSN":"01968904","abstract":"Biomethane is a renewable energy useful to encourage the transition to a sustainable energy future. Incentive policies favour its development and consequently this paper evaluates the economic performance for use of biomethane fed into the grid, destined for cogeneration or sold as vehicle fuel. A mathematical model is proposed and the indicators used are Net Present Value and Discounted Payback Time. This paper aims to evaluate the financial feasibility of biomethane plants in function of the plant size (100 m 3 /h, 250 m 3 /h, 500 m 3 /h, 1000 m 3 /h) and the feedstock used (organic fraction of municipal solid waste and a mixture of 30% maize and 70% manure residues on a weight basis) for each final destination of biomethane. Furthermore, a sensitivity analysis on the critical variables is conducted and 356 case studies are overall assessed. The results of the paper demonstrate that the profitability of biomethane plants is verified in several scenarios and it is strongly linked to the subsidies. Biomethane used as vehicle fuel presents greater financial results favouring the increase of share of renewable energy in transport sector and environmental improvements are obtained.","author":[{"dropping-particle":"","family":"Cucchiella","given":"Federica","non-dropping-particle":"","parse-names":false,"suffix":""},{"dropping-particle":"","family":"D'Adamo","given":"Idiano","non-dropping-particle":"","parse-names":false,"suffix":""}],"container-title":"Energy Conversion and Management","id":"ITEM-2","issued":{"date-parts":[["2016"]]},"title":"Technical and economic analysis of biomethane: A focus on the role of subsidies","type":"article-journal"},"uris":["http://www.mendeley.com/documents/?uuid=1397b4d5-3241-4217-be6a-943e2bf04af2"]},{"id":"ITEM-3","itemData":{"DOI":"10.1016/j.jclepro.2019.05.116","ISSN":"09596526","abstract":"The green revolution represents a substantial investment plan on renewable energy resources (RESs) reducing the country's dependence on fossil fuels energy. Currently, some resources are not completely exploited and the transformation of waste residues into green energy is able to develop circular economy models. Europe has a great potential coming from animal residues and the transport sector has a weak growth of RESs. Biomethane, also called green gas, is a possible valid solution. This work provides an economic analysis regarding both biogas and biomethane plants that use several typologies of animal residues. Net Present Value (NPV) and Discounted Payback Time (DPBT) are used as indexes. The production of electricity by biogas plants contributes to reducing the levels of emissions, but its upgrading can conduct to increase environmental performance. This is not coupled with an increase in profits. Results of the work define the minimum size in which both biogas and biomethane plants are profitable and the key-role of subsidies trying to provide policy guidance to governments and planners.","author":[{"dropping-particle":"","family":"Cucchiella","given":"Federica","non-dropping-particle":"","parse-names":false,"suffix":""},{"dropping-particle":"","family":"D'Adamo","given":"Idiano","non-dropping-particle":"","parse-names":false,"suffix":""},{"dropping-particle":"","family":"Gastaldi","given":"Massimo","non-dropping-particle":"","parse-names":false,"suffix":""}],"container-title":"Journal of Cleaner Production","id":"ITEM-3","issued":{"date-parts":[["2019"]]},"title":"An economic analysis of biogas-biomethane chain from animal residues in Italy","type":"article-journal"},"uris":["http://www.mendeley.com/documents/?uuid=031265b9-16e7-4100-a4a7-97606e909e91"]},{"id":"ITEM-4","itemData":{"DOI":"10.1016/j.jclepro.2018.02.243","ISSN":"09596526","abstract":"Biomethane is a promising renewable energy carrier with the potential to diversify and decarbonise natural gas. It is produced from a range of waste sources and can be distributed into the natural gas grid or used as a vehicle fuel or converted into in cogeneration units. The economic evaluation of small plants for biomethane injection into the gas grid is not well defined in literature. This paper proposes a mathematical and economic model useful to evaluate the profitability of these plants in according to Discounted Cash Flow (DCF) method. The indicators used are Net Present Value (NPV), Discounted Payback Time (DPBT), Internal Rate of Return (IRR) and Profitability Index (PI). The baseline case studies analyse three different small-scale sizes (50 m3/h, 100 m3/h and 150 m3/h) concerning two typologies of substrates (organic fraction of municipal solid waste (ofmsw) and a mixture of maize and manure residues). Results define that the profitability is verified only for 150 m3/h ofmsw plant in baseline case study (NPV is 615,694 €, DPBT is 3 y, IRR is 33% and PI is 0.18). Furthermore, alternative case studies are conducted on the main critical variables (subsidies, investment costs of biogas production, transport costs of substrates and percentage of maintenance and overhead costs in biogas production). The economic feasibility can be reached in the following case studies: 100 m3/h ofmsw plant in sensitivity analysis, 50 m3/h ofmsw plant in scenario analysis, 150 m3/h mixed plant in scenario analysis with a new incentive scheme and 100 m3/h manure residues plant in scenario analysis. The biomethane can contribute to develop the circular economy recovering a wide range of waste.","author":[{"dropping-particle":"","family":"Cucchiella","given":"Federica","non-dropping-particle":"","parse-names":false,"suffix":""},{"dropping-particle":"","family":"D'Adamo","given":"Idiano","non-dropping-particle":"","parse-names":false,"suffix":""},{"dropping-particle":"","family":"Gastaldi","given":"Massimo","non-dropping-particle":"","parse-names":false,"suffix":""},{"dropping-particle":"","family":"Miliacca","given":"Michela","non-dropping-particle":"","parse-names":false,"suffix":""}],"container-title":"Journal of Cleaner Production","id":"ITEM-4","issued":{"date-parts":[["2018"]]},"title":"A profitability analysis of small-scale plants for biomethane injection into the gas grid","type":"article-journal"},"uris":["http://www.mendeley.com/documents/?uuid=651840ed-9a94-4090-be81-6df054153eb6"]},{"id":"ITEM-5","itemData":{"DOI":"10.1016/j.energy.2020.118158","ISSN":"03605442","abstract":"A novel analysis addresses the economic viability of biomethane production from small biogas plants in South Spain, as a claim to promote the use of green energy and reduce the consumption of natural gas. To this end, the importance of governmental incentives to reach profitability in biomethane plants is illustrated through a case study. To date, no study addressing this problem specifically for South Spain can be found. The study considers the whole process from biogas production to biomethane feeding into the grid, for three different biomethane capacities (50, 100 and 150 m3/h) and includes an exhaustive sensitivity analysis. For the three cases, implementing a biomethane plant is not viable and, therefore, not attractive for investors. Results considering biomethane governmental incentives as feed-in premia show significant improvements on the profitability of the largest plants. For example, supporting 150 m3/h biomethane production capacity plants with a premium price of only 6 €/MWh (6.6 cents/m3) results in 270 k€ NPV. Nevertheless, the smallest biomethane plants are hardly feasible. Concerning governmental support through investment subsidies, 150 m3/h plants are profitable if 10% of the investment is subsidized, whereas the smallest plants do not reach profitability even if 50% of the investment is subsidized.","author":[{"dropping-particle":"","family":"Baena-Moreno","given":"Francisco M.","non-dropping-particle":"","parse-names":false,"suffix":""},{"dropping-particle":"","family":"Malico","given":"Isabel","non-dropping-particle":"","parse-names":false,"suffix":""},{"dropping-particle":"","family":"Rodríguez-Galán","given":"Mónica","non-dropping-particle":"","parse-names":false,"suffix":""},{"dropping-particle":"","family":"Serrano","given":"Antonio","non-dropping-particle":"","parse-names":false,"suffix":""},{"dropping-particle":"","family":"Fermoso","given":"Fernando G.","non-dropping-particle":"","parse-names":false,"suffix":""},{"dropping-particle":"","family":"Navarrete","given":"Benito","non-dropping-particle":"","parse-names":false,"suffix":""}],"container-title":"Energy","id":"ITEM-5","issued":{"date-parts":[["2020"]]},"title":"The importance of governmental incentives for small biomethane plants in South Spain","type":"article-journal"},"uris":["http://www.mendeley.com/documents/?uuid=56c3ae58-6318-4622-82e7-bb5a8f328a04"]},{"id":"ITEM-6","itemData":{"DOI":"10.3390/SU13168933","abstract":"Wastewater treatment plants (WWTP) located in regions far from a high-pressure grid can produce renewable biomethane, which can partially substitute the natural gas locally consumed. However, the economic viability of implementing biomethane plants in WWTP has to be guaranteed. This paper uses the discount cash flow method to analyze the economic viability of producing biomethane in a WWTP located in Évora (Portugal). The results show that, under the current conditions, it is unprofitable to produce biomethane in this WWTP. Since selling the CO2 separated from biogas may result in an additional income, this option was also considered. In this case, a price of 46 EUR/t CO2 has to be paid to make the project viable. Finally, the impact of potential government incentives in the form of feed-in premia was investigated. Without selling CO2, the project would only be profitable for feed-in premia above 55.5 EUR/MWh. If all the CO2 produced was sold at 30 EUR/t CO2, a premium price of 20 EUR/MWh would make the project profitable. This study shows that the economic attractiveness of producing biomethane in small WWTP is only secured through sufficient financial incentives, which are vital for developing the biomethane market with all its associated advantages.","author":[{"dropping-particle":"","family":"Baena-Moreno","given":"Francisco M.","non-dropping-particle":"","parse-names":</w:instrText>
      </w:r>
      <w:r w:rsidRPr="00C926EC">
        <w:rPr>
          <w:rFonts w:ascii="Arial" w:hAnsi="Arial" w:cs="Arial"/>
          <w:sz w:val="24"/>
          <w:szCs w:val="24"/>
          <w:lang w:val="en-US"/>
        </w:rPr>
        <w:instrText>false,"suffix":""},{"dropping-particle":"","family":"Malico","given":"Isabel","non-dropping-particle":"","parse-names":false,"suffix":""},{"dropping-particle":"","family":"Marques","given":"Isabel Paula","non-dropping-particle":"","parse-names":false,"suffix":""}],"container-title":"Sustainability 2021, Vol. 13, Page 8933","id":"ITEM-6","issue":"16","issued":{"date-parts":[["2021","8","10"]]},"page":"8933","publisher":"Multidisciplinary Digital Publishing Institute","title":"Promoting Sustainability: Wastewater Treatment Plants as a Source of Biomethane in Regions Far from a High-Pressure Grid. A Real Portuguese Case Study","type":"article-journal","volume":"13"},"uris":["http://www.mendeley.com/documents/?uuid=a2c9316d-bc62-3bf5-821d-57840c18f0b1"]}],"mendeley":{"formattedCitation":"(Baena-Moreno et al., 2020b; Francisco M. Baena-Moreno et al., 2021; Cucchiella et al., 2019b, 2019a, 2018; Cucchiella and D’Adamo, 2016)","manualFormatting":"(Baena-Moreno et al., 2020b; Baena-Moreno et al., 2021; Cucchiella et al., 2019b, 2019a, 2018; Cucchiella and D’Adamo, 2016)","plainTextFormattedCitation":"(Baena-Moreno et al., 2020b; Francisco M. Baena-Moreno et al., 2021; Cucchiella et al., 2019b, 2019a, 2018; Cucchiella and D’Adamo, 2016)","previouslyFormattedCitation":"(Baena-Moreno et al., 2020b; Cucchiella et al., 2019b, 2019a, 2018; Cucchiella and D’Adamo, 2016)"},"properties":{"noteIndex":0},"schema":"https://github.com/citation-style-language/schema/raw/master/csl-citation.json"}</w:instrText>
      </w:r>
      <w:r w:rsidRPr="00C926EC">
        <w:rPr>
          <w:rFonts w:ascii="Arial" w:hAnsi="Arial" w:cs="Arial"/>
          <w:sz w:val="24"/>
          <w:szCs w:val="24"/>
        </w:rPr>
        <w:fldChar w:fldCharType="separate"/>
      </w:r>
      <w:r w:rsidRPr="00C926EC">
        <w:rPr>
          <w:rFonts w:ascii="Arial" w:hAnsi="Arial" w:cs="Arial"/>
          <w:noProof/>
          <w:sz w:val="24"/>
          <w:szCs w:val="24"/>
          <w:lang w:val="en-US"/>
        </w:rPr>
        <w:t>(Baena-Moreno et al., 2020b; Baena-Moreno et al., 2021; Cucchiella et al., 2019b, 2019a, 2018; Cucchiella and D’Adamo, 2016)</w:t>
      </w:r>
      <w:r w:rsidRPr="00C926EC">
        <w:rPr>
          <w:rFonts w:ascii="Arial" w:hAnsi="Arial" w:cs="Arial"/>
          <w:sz w:val="24"/>
          <w:szCs w:val="24"/>
        </w:rPr>
        <w:fldChar w:fldCharType="end"/>
      </w:r>
      <w:r w:rsidRPr="00C926EC">
        <w:rPr>
          <w:rFonts w:ascii="Arial" w:hAnsi="Arial" w:cs="Arial"/>
          <w:sz w:val="24"/>
          <w:szCs w:val="24"/>
          <w:lang w:val="en-US"/>
        </w:rPr>
        <w:t>, and the electricity price; (5) On the other hand</w:t>
      </w:r>
      <w:r w:rsidR="00FD4762" w:rsidRPr="00C926EC">
        <w:rPr>
          <w:rFonts w:ascii="Arial" w:hAnsi="Arial" w:cs="Arial"/>
          <w:sz w:val="24"/>
          <w:szCs w:val="24"/>
          <w:lang w:val="en-US"/>
        </w:rPr>
        <w:t>,</w:t>
      </w:r>
      <w:r w:rsidRPr="00C926EC">
        <w:rPr>
          <w:rFonts w:ascii="Arial" w:hAnsi="Arial" w:cs="Arial"/>
          <w:sz w:val="24"/>
          <w:szCs w:val="24"/>
          <w:lang w:val="en-US"/>
        </w:rPr>
        <w:t xml:space="preserve"> and similarly to the BU stage, the distribution costs from </w:t>
      </w:r>
      <w:r w:rsidRPr="00C926EC">
        <w:rPr>
          <w:rFonts w:ascii="Arial" w:hAnsi="Arial" w:cs="Arial"/>
          <w:sz w:val="24"/>
          <w:szCs w:val="24"/>
          <w:lang w:val="en-US"/>
        </w:rPr>
        <w:lastRenderedPageBreak/>
        <w:t>the biomethane production point to the natural gas grid</w:t>
      </w:r>
      <w:r w:rsidR="00FD4762" w:rsidRPr="00C926EC">
        <w:rPr>
          <w:rFonts w:ascii="Arial" w:hAnsi="Arial" w:cs="Arial"/>
          <w:sz w:val="24"/>
          <w:szCs w:val="24"/>
          <w:lang w:val="en-US"/>
        </w:rPr>
        <w:t>,</w:t>
      </w:r>
      <w:r w:rsidRPr="00C926EC">
        <w:rPr>
          <w:rFonts w:ascii="Arial" w:hAnsi="Arial" w:cs="Arial"/>
          <w:sz w:val="24"/>
          <w:szCs w:val="24"/>
          <w:lang w:val="en-US"/>
        </w:rPr>
        <w:t xml:space="preserve"> correspond to the investment in the form of a loan (</w:t>
      </w:r>
      <w:proofErr w:type="spellStart"/>
      <w:r w:rsidRPr="00C926EC">
        <w:rPr>
          <w:rFonts w:ascii="Arial" w:hAnsi="Arial" w:cs="Arial"/>
          <w:sz w:val="24"/>
          <w:szCs w:val="24"/>
          <w:lang w:val="en-US"/>
        </w:rPr>
        <w:t>C</w:t>
      </w:r>
      <w:r w:rsidRPr="00C926EC">
        <w:rPr>
          <w:rFonts w:ascii="Arial" w:hAnsi="Arial" w:cs="Arial"/>
          <w:sz w:val="24"/>
          <w:szCs w:val="24"/>
          <w:vertAlign w:val="subscript"/>
          <w:lang w:val="en-US"/>
        </w:rPr>
        <w:t>loanDB</w:t>
      </w:r>
      <w:proofErr w:type="spellEnd"/>
      <w:r w:rsidRPr="00C926EC">
        <w:rPr>
          <w:rFonts w:ascii="Arial" w:hAnsi="Arial" w:cs="Arial"/>
          <w:sz w:val="24"/>
          <w:szCs w:val="24"/>
          <w:lang w:val="en-US"/>
        </w:rPr>
        <w:t>), interest on the loan (</w:t>
      </w:r>
      <w:proofErr w:type="spellStart"/>
      <w:r w:rsidRPr="00C926EC">
        <w:rPr>
          <w:rFonts w:ascii="Arial" w:hAnsi="Arial" w:cs="Arial"/>
          <w:sz w:val="24"/>
          <w:szCs w:val="24"/>
          <w:lang w:val="en-US"/>
        </w:rPr>
        <w:t>C</w:t>
      </w:r>
      <w:r w:rsidRPr="00C926EC">
        <w:rPr>
          <w:rFonts w:ascii="Arial" w:hAnsi="Arial" w:cs="Arial"/>
          <w:sz w:val="24"/>
          <w:szCs w:val="24"/>
          <w:vertAlign w:val="subscript"/>
          <w:lang w:val="en-US"/>
        </w:rPr>
        <w:t>ilDB</w:t>
      </w:r>
      <w:proofErr w:type="spellEnd"/>
      <w:r w:rsidRPr="00C926EC">
        <w:rPr>
          <w:rFonts w:ascii="Arial" w:hAnsi="Arial" w:cs="Arial"/>
          <w:sz w:val="24"/>
          <w:szCs w:val="24"/>
          <w:lang w:val="en-US"/>
        </w:rPr>
        <w:t>), M&amp;O (</w:t>
      </w:r>
      <w:proofErr w:type="spellStart"/>
      <w:r w:rsidRPr="00C926EC">
        <w:rPr>
          <w:rFonts w:ascii="Arial" w:hAnsi="Arial" w:cs="Arial"/>
          <w:sz w:val="24"/>
          <w:szCs w:val="24"/>
          <w:lang w:val="en-US"/>
        </w:rPr>
        <w:t>C</w:t>
      </w:r>
      <w:r w:rsidRPr="00C926EC">
        <w:rPr>
          <w:rFonts w:ascii="Arial" w:hAnsi="Arial" w:cs="Arial"/>
          <w:sz w:val="24"/>
          <w:szCs w:val="24"/>
          <w:vertAlign w:val="subscript"/>
          <w:lang w:val="en-US"/>
        </w:rPr>
        <w:t>moDB</w:t>
      </w:r>
      <w:proofErr w:type="spellEnd"/>
      <w:r w:rsidRPr="00C926EC">
        <w:rPr>
          <w:rFonts w:ascii="Arial" w:hAnsi="Arial" w:cs="Arial"/>
          <w:sz w:val="24"/>
          <w:szCs w:val="24"/>
          <w:lang w:val="en-US"/>
        </w:rPr>
        <w:t>) and installation (</w:t>
      </w:r>
      <w:proofErr w:type="spellStart"/>
      <w:r w:rsidRPr="00C926EC">
        <w:rPr>
          <w:rFonts w:ascii="Arial" w:hAnsi="Arial" w:cs="Arial"/>
          <w:sz w:val="24"/>
          <w:szCs w:val="24"/>
          <w:lang w:val="en-US"/>
        </w:rPr>
        <w:t>C</w:t>
      </w:r>
      <w:r w:rsidRPr="00C926EC">
        <w:rPr>
          <w:rFonts w:ascii="Arial" w:hAnsi="Arial" w:cs="Arial"/>
          <w:sz w:val="24"/>
          <w:szCs w:val="24"/>
          <w:vertAlign w:val="subscript"/>
          <w:lang w:val="en-US"/>
        </w:rPr>
        <w:t>instDB</w:t>
      </w:r>
      <w:proofErr w:type="spellEnd"/>
      <w:r w:rsidRPr="00C926EC">
        <w:rPr>
          <w:rFonts w:ascii="Arial" w:hAnsi="Arial" w:cs="Arial"/>
          <w:sz w:val="24"/>
          <w:szCs w:val="24"/>
          <w:lang w:val="en-US"/>
        </w:rPr>
        <w:t>). The investment was again taken</w:t>
      </w:r>
      <w:r w:rsidR="00FD4762" w:rsidRPr="00C926EC">
        <w:rPr>
          <w:rFonts w:ascii="Arial" w:hAnsi="Arial" w:cs="Arial"/>
          <w:sz w:val="24"/>
          <w:szCs w:val="24"/>
          <w:lang w:val="en-US"/>
        </w:rPr>
        <w:t>,</w:t>
      </w:r>
      <w:r w:rsidRPr="00C926EC">
        <w:rPr>
          <w:rFonts w:ascii="Arial" w:hAnsi="Arial" w:cs="Arial"/>
          <w:sz w:val="24"/>
          <w:szCs w:val="24"/>
          <w:lang w:val="en-US"/>
        </w:rPr>
        <w:t xml:space="preserve"> based on several previous works above mentioned. Depreciation and insurance are not considered in the cost for biomethane distribution in agreement with standard policies for grids; (6) Moreover, </w:t>
      </w:r>
      <w:proofErr w:type="spellStart"/>
      <w:r w:rsidRPr="00C926EC">
        <w:rPr>
          <w:rFonts w:ascii="Arial" w:hAnsi="Arial" w:cs="Arial"/>
          <w:sz w:val="24"/>
          <w:szCs w:val="24"/>
          <w:lang w:val="en-US"/>
        </w:rPr>
        <w:t>labour</w:t>
      </w:r>
      <w:proofErr w:type="spellEnd"/>
      <w:r w:rsidRPr="00C926EC">
        <w:rPr>
          <w:rFonts w:ascii="Arial" w:hAnsi="Arial" w:cs="Arial"/>
          <w:sz w:val="24"/>
          <w:szCs w:val="24"/>
          <w:lang w:val="en-US"/>
        </w:rPr>
        <w:t xml:space="preserve"> costs (</w:t>
      </w:r>
      <m:oMath>
        <m:sSub>
          <m:sSubPr>
            <m:ctrlPr>
              <w:rPr>
                <w:rFonts w:ascii="Cambria Math" w:hAnsi="Cambria Math" w:cs="Arial"/>
                <w:sz w:val="24"/>
                <w:szCs w:val="24"/>
              </w:rPr>
            </m:ctrlPr>
          </m:sSubPr>
          <m:e>
            <m:r>
              <m:rPr>
                <m:sty m:val="p"/>
              </m:rPr>
              <w:rPr>
                <w:rFonts w:ascii="Cambria Math" w:hAnsi="Cambria Math" w:cs="Arial"/>
                <w:sz w:val="24"/>
                <w:szCs w:val="24"/>
                <w:lang w:val="en-US"/>
              </w:rPr>
              <m:t>C</m:t>
            </m:r>
          </m:e>
          <m:sub>
            <m:r>
              <m:rPr>
                <m:sty m:val="p"/>
              </m:rPr>
              <w:rPr>
                <w:rFonts w:ascii="Cambria Math" w:hAnsi="Cambria Math" w:cs="Arial"/>
                <w:sz w:val="24"/>
                <w:szCs w:val="24"/>
                <w:lang w:val="en-US"/>
              </w:rPr>
              <m:t>lab</m:t>
            </m:r>
          </m:sub>
        </m:sSub>
      </m:oMath>
      <w:r w:rsidRPr="00C926EC">
        <w:rPr>
          <w:rFonts w:ascii="Arial" w:hAnsi="Arial" w:cs="Arial"/>
          <w:sz w:val="24"/>
          <w:szCs w:val="24"/>
          <w:lang w:val="en-US"/>
        </w:rPr>
        <w:t>) were considered. Its calculation was based as the number of workers multiplied times the wage of each worker (</w:t>
      </w:r>
      <w:proofErr w:type="spellStart"/>
      <w:r w:rsidRPr="00C926EC">
        <w:rPr>
          <w:rFonts w:ascii="Arial" w:hAnsi="Arial" w:cs="Arial"/>
          <w:sz w:val="24"/>
          <w:szCs w:val="24"/>
          <w:lang w:val="en-US"/>
        </w:rPr>
        <w:t>C</w:t>
      </w:r>
      <w:r w:rsidRPr="00C926EC">
        <w:rPr>
          <w:rFonts w:ascii="Arial" w:hAnsi="Arial" w:cs="Arial"/>
          <w:sz w:val="24"/>
          <w:szCs w:val="24"/>
          <w:vertAlign w:val="subscript"/>
          <w:lang w:val="en-US"/>
        </w:rPr>
        <w:t>labu</w:t>
      </w:r>
      <w:proofErr w:type="spellEnd"/>
      <w:r w:rsidRPr="00C926EC">
        <w:rPr>
          <w:rFonts w:ascii="Arial" w:hAnsi="Arial" w:cs="Arial"/>
          <w:sz w:val="24"/>
          <w:szCs w:val="24"/>
          <w:lang w:val="en-US"/>
        </w:rPr>
        <w:t xml:space="preserve">). The number of workers was chosen in agreement with previous works and the small plant sizes selected. All the equations used for the calculation of </w:t>
      </w:r>
      <w:r w:rsidRPr="00C926EC">
        <w:rPr>
          <w:rFonts w:ascii="Arial" w:eastAsiaTheme="minorEastAsia" w:hAnsi="Arial" w:cs="Arial"/>
          <w:sz w:val="24"/>
          <w:szCs w:val="24"/>
          <w:lang w:val="en-US"/>
        </w:rPr>
        <w:t xml:space="preserve">these parameters are collected in Appendix </w:t>
      </w:r>
      <w:r w:rsidR="00FD4762" w:rsidRPr="00C926EC">
        <w:rPr>
          <w:rFonts w:ascii="Arial" w:eastAsiaTheme="minorEastAsia" w:hAnsi="Arial" w:cs="Arial"/>
          <w:sz w:val="24"/>
          <w:szCs w:val="24"/>
          <w:lang w:val="en-US"/>
        </w:rPr>
        <w:t>1</w:t>
      </w:r>
      <w:r w:rsidRPr="00C926EC">
        <w:rPr>
          <w:rFonts w:ascii="Arial" w:eastAsiaTheme="minorEastAsia" w:hAnsi="Arial" w:cs="Arial"/>
          <w:sz w:val="24"/>
          <w:szCs w:val="24"/>
          <w:lang w:val="en-US"/>
        </w:rPr>
        <w:t xml:space="preserve">. </w:t>
      </w:r>
    </w:p>
    <w:p w14:paraId="7B7EC170" w14:textId="3AC6F4E0" w:rsidR="006F3583" w:rsidRPr="00C926EC" w:rsidRDefault="006F3583" w:rsidP="006F3583">
      <w:pPr>
        <w:spacing w:line="480" w:lineRule="auto"/>
        <w:jc w:val="both"/>
        <w:rPr>
          <w:rFonts w:ascii="Arial" w:eastAsiaTheme="minorEastAsia" w:hAnsi="Arial" w:cs="Arial"/>
          <w:sz w:val="24"/>
          <w:szCs w:val="24"/>
          <w:lang w:val="en-US"/>
        </w:rPr>
      </w:pPr>
      <w:r w:rsidRPr="00C926EC">
        <w:rPr>
          <w:rFonts w:ascii="Arial" w:eastAsiaTheme="minorEastAsia" w:hAnsi="Arial" w:cs="Arial"/>
          <w:sz w:val="24"/>
          <w:szCs w:val="24"/>
          <w:lang w:val="en-US"/>
        </w:rPr>
        <w:t xml:space="preserve">The biogas upgrading sizes were estimated in a database elaborated in a previous work of the authors </w:t>
      </w:r>
      <w:r w:rsidRPr="00C926EC">
        <w:rPr>
          <w:rFonts w:ascii="Arial" w:eastAsiaTheme="minorEastAsia" w:hAnsi="Arial" w:cs="Arial"/>
          <w:sz w:val="24"/>
          <w:szCs w:val="24"/>
          <w:lang w:val="en-US"/>
        </w:rPr>
        <w:fldChar w:fldCharType="begin" w:fldLock="1"/>
      </w:r>
      <w:r w:rsidRPr="00C926EC">
        <w:rPr>
          <w:rFonts w:ascii="Arial" w:eastAsiaTheme="minorEastAsia" w:hAnsi="Arial" w:cs="Arial"/>
          <w:sz w:val="24"/>
          <w:szCs w:val="24"/>
          <w:lang w:val="en-US"/>
        </w:rPr>
        <w:instrText>ADDIN CSL_CITATION {"citationItems":[{"id":"ITEM-1","itemData":{"DOI":"doi.org/10.1016/j.rser.2021.110939","author":[{"dropping-particle":"","family":"Baena-Moreno","given":"F. M.","non-dropping-particle":"","parse-names":false,"suffix":""},{"dropping-particle":"","family":"Sebastia-Saez","given":"D.","non-dropping-particle":"","parse-names":false,"suffix":""},{"dropping-particle":"","family":"Pastor-Pérez","given":"L.","non-dropping-particle":"","parse-names":false,"suffix":""},{"dropping-particle":"","family":"Ramirez-Reina","given":"T.","non-dropping-particle":"","parse-names":false,"suffix":""}],"container-title":"Renewable and Sustainable Energy Reviews","id":"ITEM-1","issued":{"date-parts":[["2021"]]},"title":"Analysis of the potential for biogas upgrading to syngas via catalytic reforming in the United Kingdom","type":"article-journal","volume":"144"},"uris":["http://www.mendeley.com/documents/?uuid=00a6f0da-e3df-421f-82a2-13165cdcb97f"]}],"mendeley":{"formattedCitation":"(F. M. Baena-Moreno et al., 2021)","plainTextFormattedCitation":"(F. M. Baena-Moreno et al., 2021)","previouslyFormattedCitation":"(Baena-Moreno et al., 2021)"},"properties":{"noteIndex":0},"schema":"https://github.com/citation-style-language/schema/raw/master/csl-citation.json"}</w:instrText>
      </w:r>
      <w:r w:rsidRPr="00C926EC">
        <w:rPr>
          <w:rFonts w:ascii="Arial" w:eastAsiaTheme="minorEastAsia" w:hAnsi="Arial" w:cs="Arial"/>
          <w:sz w:val="24"/>
          <w:szCs w:val="24"/>
          <w:lang w:val="en-US"/>
        </w:rPr>
        <w:fldChar w:fldCharType="separate"/>
      </w:r>
      <w:r w:rsidRPr="00C926EC">
        <w:rPr>
          <w:rFonts w:ascii="Arial" w:eastAsiaTheme="minorEastAsia" w:hAnsi="Arial" w:cs="Arial"/>
          <w:noProof/>
          <w:sz w:val="24"/>
          <w:szCs w:val="24"/>
          <w:lang w:val="en-US"/>
        </w:rPr>
        <w:t>(F. M. Baena-Moreno et al., 2021)</w:t>
      </w:r>
      <w:r w:rsidRPr="00C926EC">
        <w:rPr>
          <w:rFonts w:ascii="Arial" w:eastAsiaTheme="minorEastAsia" w:hAnsi="Arial" w:cs="Arial"/>
          <w:sz w:val="24"/>
          <w:szCs w:val="24"/>
          <w:lang w:val="en-US"/>
        </w:rPr>
        <w:fldChar w:fldCharType="end"/>
      </w:r>
      <w:r w:rsidRPr="00C926EC">
        <w:rPr>
          <w:rFonts w:ascii="Arial" w:eastAsiaTheme="minorEastAsia" w:hAnsi="Arial" w:cs="Arial"/>
          <w:sz w:val="24"/>
          <w:szCs w:val="24"/>
          <w:lang w:val="en-US"/>
        </w:rPr>
        <w:t>. As before said, t</w:t>
      </w:r>
      <w:r w:rsidRPr="00C926EC">
        <w:rPr>
          <w:rFonts w:ascii="Arial" w:hAnsi="Arial" w:cs="Arial"/>
          <w:sz w:val="24"/>
          <w:szCs w:val="24"/>
          <w:lang w:val="en-US"/>
        </w:rPr>
        <w:t xml:space="preserve">hree biogas production plants currently with a CHP system are available in Cornwall: Great Brynn Barton Farm, Sharps Brewery and Pengelly Barton AD </w:t>
      </w:r>
      <w:r w:rsidRPr="00C926EC">
        <w:rPr>
          <w:rFonts w:ascii="Arial" w:hAnsi="Arial" w:cs="Arial"/>
          <w:sz w:val="24"/>
          <w:szCs w:val="24"/>
          <w:lang w:val="en-US"/>
        </w:rPr>
        <w:fldChar w:fldCharType="begin" w:fldLock="1"/>
      </w:r>
      <w:r w:rsidRPr="00C926EC">
        <w:rPr>
          <w:rFonts w:ascii="Arial" w:hAnsi="Arial" w:cs="Arial"/>
          <w:sz w:val="24"/>
          <w:szCs w:val="24"/>
          <w:lang w:val="en-US"/>
        </w:rPr>
        <w:instrText>ADDIN CSL_CITATION {"citationItems":[{"id":"ITEM-1","itemData":{"author":[{"dropping-particle":"","family":"NNFCC","given":"","non-dropping-particle":"","parse-names":false,"suffix":""}],"id":"ITEM-1","issued":{"date-parts":[["2020"]]},"title":"The Official Information Portal on Anaerobic Digestion","type":"thesis"},"uris":["http://www.mendeley.com/documents/?uuid=24edc3bb-4cbb-41f9-baaf-dc457eb86e04","http://www.mendeley.com/documents/?uuid=89995c35-11f0-403e-b81a-443f77661b70"]}],"mendeley":{"formattedCitation":"(NNFCC, 2020)","plainTextFormattedCitation":"(NNFCC, 2020)","previouslyFormattedCitation":"(NNFCC, 2020)"},"properties":{"noteIndex":0},"schema":"https://github.com/citation-style-language/schema/raw/master/csl-citation.json"}</w:instrText>
      </w:r>
      <w:r w:rsidRPr="00C926EC">
        <w:rPr>
          <w:rFonts w:ascii="Arial" w:hAnsi="Arial" w:cs="Arial"/>
          <w:sz w:val="24"/>
          <w:szCs w:val="24"/>
          <w:lang w:val="en-US"/>
        </w:rPr>
        <w:fldChar w:fldCharType="separate"/>
      </w:r>
      <w:r w:rsidRPr="00C926EC">
        <w:rPr>
          <w:rFonts w:ascii="Arial" w:hAnsi="Arial" w:cs="Arial"/>
          <w:noProof/>
          <w:sz w:val="24"/>
          <w:szCs w:val="24"/>
          <w:lang w:val="en-US"/>
        </w:rPr>
        <w:t>(NNFCC, 2020)</w:t>
      </w:r>
      <w:r w:rsidRPr="00C926EC">
        <w:rPr>
          <w:rFonts w:ascii="Arial" w:hAnsi="Arial" w:cs="Arial"/>
          <w:sz w:val="24"/>
          <w:szCs w:val="24"/>
          <w:lang w:val="en-US"/>
        </w:rPr>
        <w:fldChar w:fldCharType="end"/>
      </w:r>
      <w:r w:rsidRPr="00C926EC">
        <w:rPr>
          <w:rFonts w:ascii="Arial" w:hAnsi="Arial" w:cs="Arial"/>
          <w:sz w:val="24"/>
          <w:szCs w:val="24"/>
          <w:lang w:val="en-US"/>
        </w:rPr>
        <w:t>. The estimated biogas production of these plants in our previous database is 122, 94 and 182 m</w:t>
      </w:r>
      <w:r w:rsidRPr="00C926EC">
        <w:rPr>
          <w:rFonts w:ascii="Arial" w:hAnsi="Arial" w:cs="Arial"/>
          <w:sz w:val="24"/>
          <w:szCs w:val="24"/>
          <w:vertAlign w:val="superscript"/>
          <w:lang w:val="en-US"/>
        </w:rPr>
        <w:t>3</w:t>
      </w:r>
      <w:r w:rsidRPr="00C926EC">
        <w:rPr>
          <w:rFonts w:ascii="Arial" w:hAnsi="Arial" w:cs="Arial"/>
          <w:sz w:val="24"/>
          <w:szCs w:val="24"/>
          <w:lang w:val="en-US"/>
        </w:rPr>
        <w:t>/h, respectively. From now on</w:t>
      </w:r>
      <w:r w:rsidR="00FD4762" w:rsidRPr="00C926EC">
        <w:rPr>
          <w:rFonts w:ascii="Arial" w:hAnsi="Arial" w:cs="Arial"/>
          <w:sz w:val="24"/>
          <w:szCs w:val="24"/>
          <w:lang w:val="en-US"/>
        </w:rPr>
        <w:t>,</w:t>
      </w:r>
      <w:r w:rsidRPr="00C926EC">
        <w:rPr>
          <w:rFonts w:ascii="Arial" w:hAnsi="Arial" w:cs="Arial"/>
          <w:sz w:val="24"/>
          <w:szCs w:val="24"/>
          <w:lang w:val="en-US"/>
        </w:rPr>
        <w:t xml:space="preserve"> and for sake of clarity, we refer to the different plants with these values. Regarding the distribution stage, extra biomethane compression from the production point to the natural gas grid is not needed</w:t>
      </w:r>
      <w:r w:rsidR="00FD4762" w:rsidRPr="00C926EC">
        <w:rPr>
          <w:rFonts w:ascii="Arial" w:hAnsi="Arial" w:cs="Arial"/>
          <w:sz w:val="24"/>
          <w:szCs w:val="24"/>
          <w:lang w:val="en-US"/>
        </w:rPr>
        <w:t>,</w:t>
      </w:r>
      <w:r w:rsidRPr="00C926EC">
        <w:rPr>
          <w:rFonts w:ascii="Arial" w:hAnsi="Arial" w:cs="Arial"/>
          <w:sz w:val="24"/>
          <w:szCs w:val="24"/>
          <w:lang w:val="en-US"/>
        </w:rPr>
        <w:t xml:space="preserve"> as the grid operates at a similar pressure to the pressure of the biomethane produced </w:t>
      </w:r>
      <w:r w:rsidRPr="00C926EC">
        <w:rPr>
          <w:rFonts w:ascii="Arial" w:hAnsi="Arial" w:cs="Arial"/>
          <w:sz w:val="24"/>
          <w:szCs w:val="24"/>
        </w:rPr>
        <w:fldChar w:fldCharType="begin" w:fldLock="1"/>
      </w:r>
      <w:r w:rsidRPr="00C926EC">
        <w:rPr>
          <w:rFonts w:ascii="Arial" w:hAnsi="Arial" w:cs="Arial"/>
          <w:sz w:val="24"/>
          <w:szCs w:val="24"/>
          <w:lang w:val="en-US"/>
        </w:rPr>
        <w:instrText xml:space="preserve">ADDIN CSL_CITATION {"citationItems":[{"id":"ITEM-1","itemData":{"DOI":"10.1016/j.jclepro.2018.02.243","ISSN":"09596526","abstract":"Biomethane is a promising renewable energy carrier with the potential to diversify and decarbonise natural gas. It is produced from a range of waste sources and can be distributed into the natural gas grid or used as a vehicle fuel or converted into in cogeneration units. The economic evaluation of small plants for biomethane injection into the gas grid is not well defined in literature. This paper proposes a mathematical and economic model useful to evaluate the profitability of these plants in according to Discounted Cash Flow (DCF) method. The indicators used are Net Present Value (NPV), Discounted Payback Time (DPBT), Internal Rate of Return (IRR) and Profitability Index (PI). The baseline case studies analyse three different small-scale sizes (50 m3/h, 100 m3/h and 150 m3/h) concerning two typologies of substrates (organic fraction of municipal solid waste (ofmsw) and a mixture of maize and manure residues). Results define that the profitability is verified only for 150 m3/h ofmsw plant in baseline case study (NPV is 615,694 €, DPBT is 3 y, IRR is 33% and PI is 0.18). Furthermore, alternative case studies are conducted on the main </w:instrText>
      </w:r>
      <w:r w:rsidRPr="00C926EC">
        <w:rPr>
          <w:rFonts w:ascii="Arial" w:hAnsi="Arial" w:cs="Arial"/>
          <w:sz w:val="24"/>
          <w:szCs w:val="24"/>
        </w:rPr>
        <w:instrText>critical variables (subsidies, investment costs of biogas production, transport costs of substrates and percentage of maintenance and overhead costs in biogas production). The economic feasibility can be reached in the following case studies: 100 m3/h ofmsw plant in sensitivity analysis, 50 m3/h ofmsw plant in scenario analysis, 150 m3/h mixed plant in scenario analysis with a new incentive scheme and 100 m3/h manure residues plant in scenario analysis. The biomethane can contribute to develop the circular economy recovering a wide range of waste.","author":[{"dropping-particle":"","family":"Cucchiella","given":"Federica","non-dropping-particle":"","parse-names":false,"suffix":""},{"dropping-particle":"","family":"D'Adamo","given":"Idiano","non-dropping-particle":"","parse-names":false,"suffix":""},{"dropping-particle":"","family":"Gastaldi","given":"Massimo","non-dropping-particle":"","parse-names":false,"suffix":""},{"dropping-particle":"","family":"Miliacca","given":"Michela","non-dropping-particle":"","parse-names":false,"suffix":""}],"container-title":"Journal of Cleaner Production","id":"ITEM-1","issued":{"date-parts":[["2018"]]},"title":"A profitability analysis of small-scale plants for biomethane injection into the gas grid","type":"article-journal"},"uris":["http://www.mendeley.com/documents/?uuid=651840ed-9a94-4090-be81-6df054153eb6"]},{"id":"ITEM-2","itemData":{"DOI":"10.1016/j.enconman.2016.04.058","ISSN":"01968904","abstract":"Biomethane is a renewable energy useful to encourage the transition to a sustainable energy future. Incentive policies favour its development and consequently this paper evaluates the economic performance for use of biomethane fed into the grid, destined for cogeneration or sold as vehicle fuel. A mathematical model is proposed and the indicators used are Net Present Value and Discounted Payback Time. This paper aims to evaluate the financial feasibility of biomethane plants in function of the plant size (100 m 3 /h, 250 m 3 /h, 500 m 3 /h, 1000 m 3 /h) and the feedstock used (organic fraction of municipal solid waste and a mixture of 30% ma</w:instrText>
      </w:r>
      <w:r w:rsidRPr="00C926EC">
        <w:rPr>
          <w:rFonts w:ascii="Arial" w:hAnsi="Arial" w:cs="Arial"/>
          <w:sz w:val="24"/>
          <w:szCs w:val="24"/>
          <w:lang w:val="en-US"/>
        </w:rPr>
        <w:instrText>ize and 70% manure residues on a weight basis) for each final destination of biomethane. Furthermore, a sensitivity analysis on the critical variables is conducted and 356 case studies are overall assessed. The results of the paper demonstrate that the profitability of biomethane plants is verified in several scenarios and it is strongly linked to the subsidies. Biomethane used as vehicle fuel presents greater financial results favouring the increase of share of renewable energy in transport sector and environmental improvements are obtained.","author":[{"dropping-particle":"","family":"Cucchiella","given":"Federica","non-dropping-particle":"","parse-names":false,"suffix":""},{"dropping-particle":"","family":"D'Adamo","given":"Idiano","non-dropping-particle":"","parse-names":false,"suffix":""}],"container-title":"Energy Conversion and Management","id":"ITEM-2","issued":{"date-parts":[["2016"]]},"title":"Technical and economic analysis of biomethane: A focus on the role of subsidies","type":"article-journal"},"uris":["http://www.mendeley.com/documents/?uuid=1397b4d5-3241-4217-be6a-943e2bf04af2"]}],"mendeley":{"formattedCitation":"(Cucchiella et al., 2018; Cucchiella and D’Adamo, 2016)","plainTextFormattedCitation":"(Cucchiella et al., 2018; Cucchiella and D’Adamo, 2016)","previouslyFormattedCitation":"(Cucchiella et al., 2018; Cucchiella and D’Adamo, 2016)"},"properties":{"noteIndex":0},"schema":"https://github.com/citation-style-language/schema/raw/master/csl-citation.json"}</w:instrText>
      </w:r>
      <w:r w:rsidRPr="00C926EC">
        <w:rPr>
          <w:rFonts w:ascii="Arial" w:hAnsi="Arial" w:cs="Arial"/>
          <w:sz w:val="24"/>
          <w:szCs w:val="24"/>
        </w:rPr>
        <w:fldChar w:fldCharType="separate"/>
      </w:r>
      <w:r w:rsidRPr="00C926EC">
        <w:rPr>
          <w:rFonts w:ascii="Arial" w:hAnsi="Arial" w:cs="Arial"/>
          <w:noProof/>
          <w:sz w:val="24"/>
          <w:szCs w:val="24"/>
          <w:lang w:val="en-US"/>
        </w:rPr>
        <w:t>(Cucchiella et al., 2018; Cucchiella and D’Adamo, 2016)</w:t>
      </w:r>
      <w:r w:rsidRPr="00C926EC">
        <w:rPr>
          <w:rFonts w:ascii="Arial" w:hAnsi="Arial" w:cs="Arial"/>
          <w:sz w:val="24"/>
          <w:szCs w:val="24"/>
        </w:rPr>
        <w:fldChar w:fldCharType="end"/>
      </w:r>
      <w:r w:rsidRPr="00C926EC">
        <w:rPr>
          <w:rFonts w:ascii="Arial" w:hAnsi="Arial" w:cs="Arial"/>
          <w:sz w:val="24"/>
          <w:szCs w:val="24"/>
          <w:lang w:val="en-US"/>
        </w:rPr>
        <w:t xml:space="preserve">. Table 1 presents the data used as economic inputs. </w:t>
      </w:r>
    </w:p>
    <w:p w14:paraId="1A739591" w14:textId="77777777" w:rsidR="006F3583" w:rsidRPr="00C926EC" w:rsidRDefault="006F3583" w:rsidP="00EB509A">
      <w:pPr>
        <w:spacing w:line="480" w:lineRule="auto"/>
        <w:jc w:val="both"/>
        <w:rPr>
          <w:rFonts w:ascii="Arial" w:hAnsi="Arial" w:cs="Arial"/>
          <w:sz w:val="24"/>
          <w:szCs w:val="24"/>
          <w:lang w:val="en-US"/>
        </w:rPr>
      </w:pPr>
    </w:p>
    <w:p w14:paraId="0A4BA8B7" w14:textId="66C6E3A5" w:rsidR="00EB509A" w:rsidRPr="00C926EC" w:rsidRDefault="00A47CC6" w:rsidP="00EB509A">
      <w:pPr>
        <w:spacing w:line="480" w:lineRule="auto"/>
        <w:jc w:val="both"/>
        <w:rPr>
          <w:rFonts w:ascii="Arial" w:eastAsiaTheme="minorEastAsia" w:hAnsi="Arial" w:cs="Arial"/>
          <w:sz w:val="24"/>
          <w:szCs w:val="24"/>
          <w:lang w:val="en-US"/>
        </w:rPr>
      </w:pPr>
      <w:r w:rsidRPr="00C926EC">
        <w:rPr>
          <w:rFonts w:ascii="Arial" w:hAnsi="Arial" w:cs="Arial"/>
          <w:sz w:val="24"/>
          <w:szCs w:val="24"/>
          <w:lang w:val="en-GB"/>
        </w:rPr>
        <w:t xml:space="preserve"> </w:t>
      </w:r>
    </w:p>
    <w:p w14:paraId="167765B1" w14:textId="5DA7B5CA" w:rsidR="00116362" w:rsidRPr="00C926EC" w:rsidRDefault="00116362" w:rsidP="00116362">
      <w:pPr>
        <w:spacing w:line="480" w:lineRule="auto"/>
        <w:jc w:val="right"/>
        <w:rPr>
          <w:rFonts w:ascii="Arial" w:eastAsiaTheme="minorEastAsia" w:hAnsi="Arial" w:cs="Arial"/>
          <w:lang w:val="en-US"/>
        </w:rPr>
      </w:pPr>
      <m:oMath>
        <m:r>
          <m:rPr>
            <m:sty m:val="p"/>
          </m:rPr>
          <w:rPr>
            <w:rFonts w:ascii="Cambria Math" w:hAnsi="Cambria Math" w:cs="Arial"/>
            <w:lang w:val="en-US"/>
          </w:rPr>
          <m:t>NPV=</m:t>
        </m:r>
        <m:nary>
          <m:naryPr>
            <m:chr m:val="∑"/>
            <m:limLoc m:val="undOvr"/>
            <m:ctrlPr>
              <w:rPr>
                <w:rFonts w:ascii="Cambria Math" w:hAnsi="Cambria Math" w:cs="Arial"/>
                <w:lang w:val="en-US"/>
              </w:rPr>
            </m:ctrlPr>
          </m:naryPr>
          <m:sub>
            <m:r>
              <m:rPr>
                <m:sty m:val="p"/>
              </m:rPr>
              <w:rPr>
                <w:rFonts w:ascii="Cambria Math" w:hAnsi="Cambria Math" w:cs="Arial"/>
                <w:lang w:val="en-US"/>
              </w:rPr>
              <m:t>t=0</m:t>
            </m:r>
          </m:sub>
          <m:sup>
            <m:r>
              <m:rPr>
                <m:sty m:val="p"/>
              </m:rPr>
              <w:rPr>
                <w:rFonts w:ascii="Cambria Math" w:hAnsi="Cambria Math" w:cs="Arial"/>
                <w:lang w:val="en-US"/>
              </w:rPr>
              <m:t>n</m:t>
            </m:r>
          </m:sup>
          <m:e>
            <m:f>
              <m:fPr>
                <m:ctrlPr>
                  <w:rPr>
                    <w:rFonts w:ascii="Cambria Math" w:hAnsi="Cambria Math" w:cs="Arial"/>
                    <w:lang w:val="en-US"/>
                  </w:rPr>
                </m:ctrlPr>
              </m:fPr>
              <m:num>
                <m:sSub>
                  <m:sSubPr>
                    <m:ctrlPr>
                      <w:rPr>
                        <w:rFonts w:ascii="Cambria Math" w:hAnsi="Cambria Math" w:cs="Arial"/>
                        <w:lang w:val="en-US"/>
                      </w:rPr>
                    </m:ctrlPr>
                  </m:sSubPr>
                  <m:e>
                    <m:r>
                      <m:rPr>
                        <m:sty m:val="p"/>
                      </m:rPr>
                      <w:rPr>
                        <w:rFonts w:ascii="Cambria Math" w:hAnsi="Cambria Math" w:cs="Arial"/>
                        <w:lang w:val="en-US"/>
                      </w:rPr>
                      <m:t>I</m:t>
                    </m:r>
                  </m:e>
                  <m:sub>
                    <m:r>
                      <m:rPr>
                        <m:sty m:val="p"/>
                      </m:rPr>
                      <w:rPr>
                        <w:rFonts w:ascii="Cambria Math" w:hAnsi="Cambria Math" w:cs="Arial"/>
                        <w:lang w:val="en-US"/>
                      </w:rPr>
                      <m:t>t</m:t>
                    </m:r>
                  </m:sub>
                </m:sSub>
                <m:r>
                  <m:rPr>
                    <m:sty m:val="p"/>
                  </m:rPr>
                  <w:rPr>
                    <w:rFonts w:ascii="Cambria Math" w:hAnsi="Cambria Math" w:cs="Arial"/>
                    <w:lang w:val="en-US"/>
                  </w:rPr>
                  <m:t>-</m:t>
                </m:r>
                <m:sSub>
                  <m:sSubPr>
                    <m:ctrlPr>
                      <w:rPr>
                        <w:rFonts w:ascii="Cambria Math" w:hAnsi="Cambria Math" w:cs="Arial"/>
                        <w:lang w:val="en-US"/>
                      </w:rPr>
                    </m:ctrlPr>
                  </m:sSubPr>
                  <m:e>
                    <m:r>
                      <m:rPr>
                        <m:sty m:val="p"/>
                      </m:rPr>
                      <w:rPr>
                        <w:rFonts w:ascii="Cambria Math" w:hAnsi="Cambria Math" w:cs="Arial"/>
                        <w:lang w:val="en-US"/>
                      </w:rPr>
                      <m:t>O</m:t>
                    </m:r>
                  </m:e>
                  <m:sub>
                    <m:r>
                      <m:rPr>
                        <m:sty m:val="p"/>
                      </m:rPr>
                      <w:rPr>
                        <w:rFonts w:ascii="Cambria Math" w:hAnsi="Cambria Math" w:cs="Arial"/>
                        <w:lang w:val="en-US"/>
                      </w:rPr>
                      <m:t>t</m:t>
                    </m:r>
                  </m:sub>
                </m:sSub>
              </m:num>
              <m:den>
                <m:sSup>
                  <m:sSupPr>
                    <m:ctrlPr>
                      <w:rPr>
                        <w:rFonts w:ascii="Cambria Math" w:hAnsi="Cambria Math" w:cs="Arial"/>
                        <w:lang w:val="en-US"/>
                      </w:rPr>
                    </m:ctrlPr>
                  </m:sSupPr>
                  <m:e>
                    <m:r>
                      <m:rPr>
                        <m:sty m:val="p"/>
                      </m:rPr>
                      <w:rPr>
                        <w:rFonts w:ascii="Cambria Math" w:hAnsi="Cambria Math" w:cs="Arial"/>
                        <w:lang w:val="en-US"/>
                      </w:rPr>
                      <m:t>(1+</m:t>
                    </m:r>
                    <m:sSub>
                      <m:sSubPr>
                        <m:ctrlPr>
                          <w:rPr>
                            <w:rFonts w:ascii="Cambria Math" w:hAnsi="Cambria Math" w:cs="Arial"/>
                            <w:lang w:val="en-US"/>
                          </w:rPr>
                        </m:ctrlPr>
                      </m:sSubPr>
                      <m:e>
                        <m:r>
                          <m:rPr>
                            <m:sty m:val="p"/>
                          </m:rPr>
                          <w:rPr>
                            <w:rFonts w:ascii="Cambria Math" w:hAnsi="Cambria Math" w:cs="Arial"/>
                            <w:lang w:val="en-US"/>
                          </w:rPr>
                          <m:t>r</m:t>
                        </m:r>
                      </m:e>
                      <m:sub>
                        <m:r>
                          <m:rPr>
                            <m:sty m:val="p"/>
                          </m:rPr>
                          <w:rPr>
                            <w:rFonts w:ascii="Cambria Math" w:hAnsi="Cambria Math" w:cs="Arial"/>
                            <w:lang w:val="en-US"/>
                          </w:rPr>
                          <m:t>d</m:t>
                        </m:r>
                      </m:sub>
                    </m:sSub>
                    <m:r>
                      <m:rPr>
                        <m:sty m:val="p"/>
                      </m:rPr>
                      <w:rPr>
                        <w:rFonts w:ascii="Cambria Math" w:hAnsi="Cambria Math" w:cs="Arial"/>
                        <w:lang w:val="en-US"/>
                      </w:rPr>
                      <m:t>)</m:t>
                    </m:r>
                  </m:e>
                  <m:sup>
                    <m:r>
                      <m:rPr>
                        <m:sty m:val="p"/>
                      </m:rPr>
                      <w:rPr>
                        <w:rFonts w:ascii="Cambria Math" w:hAnsi="Cambria Math" w:cs="Arial"/>
                        <w:lang w:val="en-US"/>
                      </w:rPr>
                      <m:t>t</m:t>
                    </m:r>
                  </m:sup>
                </m:sSup>
              </m:den>
            </m:f>
          </m:e>
        </m:nary>
      </m:oMath>
      <w:r w:rsidR="000D356D" w:rsidRPr="00C926EC">
        <w:rPr>
          <w:rFonts w:ascii="Arial" w:eastAsiaTheme="minorEastAsia" w:hAnsi="Arial" w:cs="Arial"/>
          <w:lang w:val="en-US"/>
        </w:rPr>
        <w:tab/>
      </w:r>
      <w:r w:rsidR="000D356D" w:rsidRPr="00C926EC">
        <w:rPr>
          <w:rFonts w:ascii="Arial" w:eastAsiaTheme="minorEastAsia" w:hAnsi="Arial" w:cs="Arial"/>
          <w:lang w:val="en-US"/>
        </w:rPr>
        <w:tab/>
      </w:r>
      <w:r w:rsidR="000D356D" w:rsidRPr="00C926EC">
        <w:rPr>
          <w:rFonts w:ascii="Arial" w:eastAsiaTheme="minorEastAsia" w:hAnsi="Arial" w:cs="Arial"/>
          <w:lang w:val="en-US"/>
        </w:rPr>
        <w:tab/>
      </w:r>
      <w:r w:rsidR="000D356D" w:rsidRPr="00C926EC">
        <w:rPr>
          <w:rFonts w:ascii="Arial" w:eastAsiaTheme="minorEastAsia" w:hAnsi="Arial" w:cs="Arial"/>
          <w:lang w:val="en-US"/>
        </w:rPr>
        <w:tab/>
      </w:r>
      <w:r w:rsidR="000D356D" w:rsidRPr="00C926EC">
        <w:rPr>
          <w:rFonts w:ascii="Arial" w:eastAsiaTheme="minorEastAsia" w:hAnsi="Arial" w:cs="Arial"/>
          <w:lang w:val="en-US"/>
        </w:rPr>
        <w:tab/>
        <w:t>(1</w:t>
      </w:r>
      <w:r w:rsidRPr="00C926EC">
        <w:rPr>
          <w:rFonts w:ascii="Arial" w:eastAsiaTheme="minorEastAsia" w:hAnsi="Arial" w:cs="Arial"/>
          <w:lang w:val="en-US"/>
        </w:rPr>
        <w:t>)</w:t>
      </w:r>
    </w:p>
    <w:p w14:paraId="38571267" w14:textId="20928238" w:rsidR="000D356D" w:rsidRPr="00C926EC" w:rsidRDefault="000D356D" w:rsidP="000D356D">
      <w:pPr>
        <w:spacing w:line="480" w:lineRule="auto"/>
        <w:jc w:val="right"/>
        <w:rPr>
          <w:rFonts w:ascii="Arial" w:eastAsiaTheme="minorEastAsia" w:hAnsi="Arial" w:cs="Arial"/>
          <w:lang w:val="en-US"/>
        </w:rPr>
      </w:pPr>
      <m:oMath>
        <m:r>
          <m:rPr>
            <m:sty m:val="p"/>
          </m:rPr>
          <w:rPr>
            <w:rFonts w:ascii="Cambria Math" w:hAnsi="Cambria Math" w:cs="Arial"/>
            <w:lang w:val="en-US"/>
          </w:rPr>
          <w:lastRenderedPageBreak/>
          <m:t>PI</m:t>
        </m:r>
        <m:r>
          <w:rPr>
            <w:rFonts w:ascii="Cambria Math" w:hAnsi="Cambria Math" w:cs="Arial"/>
            <w:lang w:val="en-US"/>
          </w:rPr>
          <m:t>=</m:t>
        </m:r>
        <m:f>
          <m:fPr>
            <m:ctrlPr>
              <w:rPr>
                <w:rFonts w:ascii="Cambria Math" w:hAnsi="Cambria Math" w:cs="Arial"/>
                <w:i/>
                <w:lang w:val="en-US"/>
              </w:rPr>
            </m:ctrlPr>
          </m:fPr>
          <m:num>
            <m:nary>
              <m:naryPr>
                <m:chr m:val="∑"/>
                <m:limLoc m:val="undOvr"/>
                <m:ctrlPr>
                  <w:rPr>
                    <w:rFonts w:ascii="Cambria Math" w:hAnsi="Cambria Math" w:cs="Arial"/>
                    <w:i/>
                    <w:lang w:val="en-US"/>
                  </w:rPr>
                </m:ctrlPr>
              </m:naryPr>
              <m:sub>
                <m:r>
                  <w:rPr>
                    <w:rFonts w:ascii="Cambria Math" w:hAnsi="Cambria Math" w:cs="Arial"/>
                    <w:lang w:val="en-US"/>
                  </w:rPr>
                  <m:t>t=0</m:t>
                </m:r>
              </m:sub>
              <m:sup>
                <m:r>
                  <w:rPr>
                    <w:rFonts w:ascii="Cambria Math" w:hAnsi="Cambria Math" w:cs="Arial"/>
                    <w:lang w:val="en-US"/>
                  </w:rPr>
                  <m:t>n</m:t>
                </m:r>
              </m:sup>
              <m:e>
                <m:f>
                  <m:fPr>
                    <m:ctrlPr>
                      <w:rPr>
                        <w:rFonts w:ascii="Cambria Math" w:hAnsi="Cambria Math" w:cs="Arial"/>
                        <w:i/>
                        <w:lang w:val="en-US"/>
                      </w:rPr>
                    </m:ctrlPr>
                  </m:fPr>
                  <m:num>
                    <m:sSub>
                      <m:sSubPr>
                        <m:ctrlPr>
                          <w:rPr>
                            <w:rFonts w:ascii="Cambria Math" w:hAnsi="Cambria Math" w:cs="Arial"/>
                            <w:i/>
                            <w:lang w:val="en-US"/>
                          </w:rPr>
                        </m:ctrlPr>
                      </m:sSubPr>
                      <m:e>
                        <m:r>
                          <w:rPr>
                            <w:rFonts w:ascii="Cambria Math" w:hAnsi="Cambria Math" w:cs="Arial"/>
                            <w:lang w:val="en-US"/>
                          </w:rPr>
                          <m:t>I</m:t>
                        </m:r>
                      </m:e>
                      <m:sub>
                        <m:r>
                          <w:rPr>
                            <w:rFonts w:ascii="Cambria Math" w:hAnsi="Cambria Math" w:cs="Arial"/>
                            <w:lang w:val="en-US"/>
                          </w:rPr>
                          <m:t>t</m:t>
                        </m:r>
                      </m:sub>
                    </m:sSub>
                    <m:r>
                      <w:rPr>
                        <w:rFonts w:ascii="Cambria Math" w:hAnsi="Cambria Math" w:cs="Arial"/>
                        <w:lang w:val="en-US"/>
                      </w:rPr>
                      <m:t>-</m:t>
                    </m:r>
                    <m:sSub>
                      <m:sSubPr>
                        <m:ctrlPr>
                          <w:rPr>
                            <w:rFonts w:ascii="Cambria Math" w:hAnsi="Cambria Math" w:cs="Arial"/>
                            <w:i/>
                            <w:lang w:val="en-US"/>
                          </w:rPr>
                        </m:ctrlPr>
                      </m:sSubPr>
                      <m:e>
                        <m:r>
                          <w:rPr>
                            <w:rFonts w:ascii="Cambria Math" w:hAnsi="Cambria Math" w:cs="Arial"/>
                            <w:lang w:val="en-US"/>
                          </w:rPr>
                          <m:t>O</m:t>
                        </m:r>
                      </m:e>
                      <m:sub>
                        <m:r>
                          <w:rPr>
                            <w:rFonts w:ascii="Cambria Math" w:hAnsi="Cambria Math" w:cs="Arial"/>
                            <w:lang w:val="en-US"/>
                          </w:rPr>
                          <m:t>t</m:t>
                        </m:r>
                      </m:sub>
                    </m:sSub>
                  </m:num>
                  <m:den>
                    <m:sSup>
                      <m:sSupPr>
                        <m:ctrlPr>
                          <w:rPr>
                            <w:rFonts w:ascii="Cambria Math" w:hAnsi="Cambria Math" w:cs="Arial"/>
                            <w:i/>
                            <w:lang w:val="en-US"/>
                          </w:rPr>
                        </m:ctrlPr>
                      </m:sSupPr>
                      <m:e>
                        <m:r>
                          <w:rPr>
                            <w:rFonts w:ascii="Cambria Math" w:hAnsi="Cambria Math" w:cs="Arial"/>
                            <w:lang w:val="en-US"/>
                          </w:rPr>
                          <m:t>(1+</m:t>
                        </m:r>
                        <m:sSub>
                          <m:sSubPr>
                            <m:ctrlPr>
                              <w:rPr>
                                <w:rFonts w:ascii="Cambria Math" w:hAnsi="Cambria Math" w:cs="Arial"/>
                                <w:i/>
                                <w:lang w:val="en-US"/>
                              </w:rPr>
                            </m:ctrlPr>
                          </m:sSubPr>
                          <m:e>
                            <m:r>
                              <w:rPr>
                                <w:rFonts w:ascii="Cambria Math" w:hAnsi="Cambria Math" w:cs="Arial"/>
                                <w:lang w:val="en-US"/>
                              </w:rPr>
                              <m:t>r</m:t>
                            </m:r>
                          </m:e>
                          <m:sub>
                            <m:r>
                              <w:rPr>
                                <w:rFonts w:ascii="Cambria Math" w:hAnsi="Cambria Math" w:cs="Arial"/>
                                <w:lang w:val="en-US"/>
                              </w:rPr>
                              <m:t>d</m:t>
                            </m:r>
                          </m:sub>
                        </m:sSub>
                        <m:r>
                          <w:rPr>
                            <w:rFonts w:ascii="Cambria Math" w:hAnsi="Cambria Math" w:cs="Arial"/>
                            <w:lang w:val="en-US"/>
                          </w:rPr>
                          <m:t>)</m:t>
                        </m:r>
                      </m:e>
                      <m:sup>
                        <m:r>
                          <w:rPr>
                            <w:rFonts w:ascii="Cambria Math" w:hAnsi="Cambria Math" w:cs="Arial"/>
                            <w:lang w:val="en-US"/>
                          </w:rPr>
                          <m:t>t</m:t>
                        </m:r>
                      </m:sup>
                    </m:sSup>
                  </m:den>
                </m:f>
              </m:e>
            </m:nary>
          </m:num>
          <m:den>
            <m:sSub>
              <m:sSubPr>
                <m:ctrlPr>
                  <w:rPr>
                    <w:rFonts w:ascii="Cambria Math" w:hAnsi="Cambria Math" w:cs="Arial"/>
                    <w:i/>
                    <w:lang w:val="en-US"/>
                  </w:rPr>
                </m:ctrlPr>
              </m:sSubPr>
              <m:e>
                <m:r>
                  <w:rPr>
                    <w:rFonts w:ascii="Cambria Math" w:hAnsi="Cambria Math" w:cs="Arial"/>
                    <w:lang w:val="en-US"/>
                  </w:rPr>
                  <m:t>C</m:t>
                </m:r>
              </m:e>
              <m:sub>
                <m:r>
                  <m:rPr>
                    <m:sty m:val="p"/>
                  </m:rPr>
                  <w:rPr>
                    <w:rFonts w:ascii="Cambria Math" w:hAnsi="Cambria Math" w:cs="Arial"/>
                    <w:lang w:val="en-US"/>
                  </w:rPr>
                  <m:t>inv</m:t>
                </m:r>
              </m:sub>
            </m:sSub>
          </m:den>
        </m:f>
      </m:oMath>
      <w:r w:rsidRPr="00C926EC">
        <w:rPr>
          <w:rFonts w:ascii="Arial" w:eastAsiaTheme="minorEastAsia" w:hAnsi="Arial" w:cs="Arial"/>
          <w:lang w:val="en-US"/>
        </w:rPr>
        <w:tab/>
      </w:r>
      <w:r w:rsidRPr="00C926EC">
        <w:rPr>
          <w:rFonts w:ascii="Arial" w:eastAsiaTheme="minorEastAsia" w:hAnsi="Arial" w:cs="Arial"/>
          <w:lang w:val="en-US"/>
        </w:rPr>
        <w:tab/>
      </w:r>
      <w:r w:rsidRPr="00C926EC">
        <w:rPr>
          <w:rFonts w:ascii="Arial" w:eastAsiaTheme="minorEastAsia" w:hAnsi="Arial" w:cs="Arial"/>
          <w:lang w:val="en-US"/>
        </w:rPr>
        <w:tab/>
      </w:r>
      <w:r w:rsidRPr="00C926EC">
        <w:rPr>
          <w:rFonts w:ascii="Arial" w:eastAsiaTheme="minorEastAsia" w:hAnsi="Arial" w:cs="Arial"/>
          <w:lang w:val="en-US"/>
        </w:rPr>
        <w:tab/>
      </w:r>
      <w:r w:rsidRPr="00C926EC">
        <w:rPr>
          <w:rFonts w:ascii="Arial" w:eastAsiaTheme="minorEastAsia" w:hAnsi="Arial" w:cs="Arial"/>
          <w:lang w:val="en-US"/>
        </w:rPr>
        <w:tab/>
      </w:r>
      <w:r w:rsidRPr="00C926EC">
        <w:rPr>
          <w:rFonts w:ascii="Arial" w:eastAsiaTheme="minorEastAsia" w:hAnsi="Arial" w:cs="Arial"/>
          <w:lang w:val="en-US"/>
        </w:rPr>
        <w:tab/>
        <w:t>(2)</w:t>
      </w:r>
    </w:p>
    <w:p w14:paraId="68E7129F" w14:textId="0AF71121" w:rsidR="00821A5D" w:rsidRPr="00C926EC" w:rsidRDefault="00067AB2" w:rsidP="00821A5D">
      <w:pPr>
        <w:spacing w:line="480" w:lineRule="auto"/>
        <w:jc w:val="right"/>
        <w:rPr>
          <w:rFonts w:ascii="Arial" w:eastAsiaTheme="minorEastAsia" w:hAnsi="Arial" w:cs="Arial"/>
          <w:lang w:val="en-US"/>
        </w:rPr>
      </w:pPr>
      <m:oMath>
        <m:nary>
          <m:naryPr>
            <m:chr m:val="∑"/>
            <m:limLoc m:val="undOvr"/>
            <m:ctrlPr>
              <w:rPr>
                <w:rFonts w:ascii="Cambria Math" w:hAnsi="Cambria Math" w:cs="Arial"/>
                <w:i/>
                <w:lang w:val="en-US"/>
              </w:rPr>
            </m:ctrlPr>
          </m:naryPr>
          <m:sub>
            <m:r>
              <w:rPr>
                <w:rFonts w:ascii="Cambria Math" w:hAnsi="Cambria Math" w:cs="Arial"/>
                <w:lang w:val="en-US"/>
              </w:rPr>
              <m:t>t=0</m:t>
            </m:r>
          </m:sub>
          <m:sup>
            <m:r>
              <m:rPr>
                <m:sty m:val="p"/>
              </m:rPr>
              <w:rPr>
                <w:rFonts w:ascii="Cambria Math" w:hAnsi="Cambria Math" w:cs="Arial"/>
                <w:lang w:val="en-US"/>
              </w:rPr>
              <m:t>DPBT</m:t>
            </m:r>
          </m:sup>
          <m:e>
            <m:f>
              <m:fPr>
                <m:ctrlPr>
                  <w:rPr>
                    <w:rFonts w:ascii="Cambria Math" w:hAnsi="Cambria Math" w:cs="Arial"/>
                    <w:i/>
                    <w:lang w:val="en-US"/>
                  </w:rPr>
                </m:ctrlPr>
              </m:fPr>
              <m:num>
                <m:sSub>
                  <m:sSubPr>
                    <m:ctrlPr>
                      <w:rPr>
                        <w:rFonts w:ascii="Cambria Math" w:hAnsi="Cambria Math" w:cs="Arial"/>
                        <w:i/>
                        <w:lang w:val="en-US"/>
                      </w:rPr>
                    </m:ctrlPr>
                  </m:sSubPr>
                  <m:e>
                    <m:r>
                      <w:rPr>
                        <w:rFonts w:ascii="Cambria Math" w:hAnsi="Cambria Math" w:cs="Arial"/>
                        <w:lang w:val="en-US"/>
                      </w:rPr>
                      <m:t>I</m:t>
                    </m:r>
                  </m:e>
                  <m:sub>
                    <m:r>
                      <w:rPr>
                        <w:rFonts w:ascii="Cambria Math" w:hAnsi="Cambria Math" w:cs="Arial"/>
                        <w:lang w:val="en-US"/>
                      </w:rPr>
                      <m:t>t</m:t>
                    </m:r>
                  </m:sub>
                </m:sSub>
                <m:r>
                  <w:rPr>
                    <w:rFonts w:ascii="Cambria Math" w:hAnsi="Cambria Math" w:cs="Arial"/>
                    <w:lang w:val="en-US"/>
                  </w:rPr>
                  <m:t>-</m:t>
                </m:r>
                <m:sSub>
                  <m:sSubPr>
                    <m:ctrlPr>
                      <w:rPr>
                        <w:rFonts w:ascii="Cambria Math" w:hAnsi="Cambria Math" w:cs="Arial"/>
                        <w:i/>
                        <w:lang w:val="en-US"/>
                      </w:rPr>
                    </m:ctrlPr>
                  </m:sSubPr>
                  <m:e>
                    <m:r>
                      <w:rPr>
                        <w:rFonts w:ascii="Cambria Math" w:hAnsi="Cambria Math" w:cs="Arial"/>
                        <w:lang w:val="en-US"/>
                      </w:rPr>
                      <m:t>O</m:t>
                    </m:r>
                  </m:e>
                  <m:sub>
                    <m:r>
                      <w:rPr>
                        <w:rFonts w:ascii="Cambria Math" w:hAnsi="Cambria Math" w:cs="Arial"/>
                        <w:lang w:val="en-US"/>
                      </w:rPr>
                      <m:t>t</m:t>
                    </m:r>
                  </m:sub>
                </m:sSub>
              </m:num>
              <m:den>
                <m:sSup>
                  <m:sSupPr>
                    <m:ctrlPr>
                      <w:rPr>
                        <w:rFonts w:ascii="Cambria Math" w:hAnsi="Cambria Math" w:cs="Arial"/>
                        <w:i/>
                        <w:lang w:val="en-US"/>
                      </w:rPr>
                    </m:ctrlPr>
                  </m:sSupPr>
                  <m:e>
                    <m:r>
                      <w:rPr>
                        <w:rFonts w:ascii="Cambria Math" w:hAnsi="Cambria Math" w:cs="Arial"/>
                        <w:lang w:val="en-US"/>
                      </w:rPr>
                      <m:t>(1+</m:t>
                    </m:r>
                    <m:sSub>
                      <m:sSubPr>
                        <m:ctrlPr>
                          <w:rPr>
                            <w:rFonts w:ascii="Cambria Math" w:hAnsi="Cambria Math" w:cs="Arial"/>
                            <w:i/>
                            <w:lang w:val="en-US"/>
                          </w:rPr>
                        </m:ctrlPr>
                      </m:sSubPr>
                      <m:e>
                        <m:r>
                          <w:rPr>
                            <w:rFonts w:ascii="Cambria Math" w:hAnsi="Cambria Math" w:cs="Arial"/>
                            <w:lang w:val="en-US"/>
                          </w:rPr>
                          <m:t>r</m:t>
                        </m:r>
                      </m:e>
                      <m:sub>
                        <m:r>
                          <w:rPr>
                            <w:rFonts w:ascii="Cambria Math" w:hAnsi="Cambria Math" w:cs="Arial"/>
                            <w:lang w:val="en-US"/>
                          </w:rPr>
                          <m:t>d</m:t>
                        </m:r>
                      </m:sub>
                    </m:sSub>
                    <m:r>
                      <w:rPr>
                        <w:rFonts w:ascii="Cambria Math" w:hAnsi="Cambria Math" w:cs="Arial"/>
                        <w:lang w:val="en-US"/>
                      </w:rPr>
                      <m:t>)</m:t>
                    </m:r>
                  </m:e>
                  <m:sup>
                    <m:r>
                      <w:rPr>
                        <w:rFonts w:ascii="Cambria Math" w:hAnsi="Cambria Math" w:cs="Arial"/>
                        <w:lang w:val="en-US"/>
                      </w:rPr>
                      <m:t>t</m:t>
                    </m:r>
                  </m:sup>
                </m:sSup>
              </m:den>
            </m:f>
          </m:e>
        </m:nary>
        <m:r>
          <w:rPr>
            <w:rFonts w:ascii="Cambria Math" w:hAnsi="Cambria Math" w:cs="Arial"/>
            <w:lang w:val="en-US"/>
          </w:rPr>
          <m:t>=0</m:t>
        </m:r>
      </m:oMath>
      <w:r w:rsidR="00821A5D" w:rsidRPr="00C926EC">
        <w:rPr>
          <w:rFonts w:ascii="Arial" w:eastAsiaTheme="minorEastAsia" w:hAnsi="Arial" w:cs="Arial"/>
          <w:lang w:val="en-US"/>
        </w:rPr>
        <w:tab/>
      </w:r>
      <w:r w:rsidR="00821A5D" w:rsidRPr="00C926EC">
        <w:rPr>
          <w:rFonts w:ascii="Arial" w:eastAsiaTheme="minorEastAsia" w:hAnsi="Arial" w:cs="Arial"/>
          <w:lang w:val="en-US"/>
        </w:rPr>
        <w:tab/>
      </w:r>
      <w:r w:rsidR="00821A5D" w:rsidRPr="00C926EC">
        <w:rPr>
          <w:rFonts w:ascii="Arial" w:eastAsiaTheme="minorEastAsia" w:hAnsi="Arial" w:cs="Arial"/>
          <w:lang w:val="en-US"/>
        </w:rPr>
        <w:tab/>
      </w:r>
      <w:r w:rsidR="00821A5D" w:rsidRPr="00C926EC">
        <w:rPr>
          <w:rFonts w:ascii="Arial" w:eastAsiaTheme="minorEastAsia" w:hAnsi="Arial" w:cs="Arial"/>
          <w:lang w:val="en-US"/>
        </w:rPr>
        <w:tab/>
      </w:r>
      <w:r w:rsidR="00821A5D" w:rsidRPr="00C926EC">
        <w:rPr>
          <w:rFonts w:ascii="Arial" w:eastAsiaTheme="minorEastAsia" w:hAnsi="Arial" w:cs="Arial"/>
          <w:lang w:val="en-US"/>
        </w:rPr>
        <w:tab/>
        <w:t>(3)</w:t>
      </w:r>
    </w:p>
    <w:p w14:paraId="20524D01" w14:textId="7BB70391" w:rsidR="00A4341D" w:rsidRPr="00C926EC" w:rsidRDefault="00A4341D" w:rsidP="00A4341D">
      <w:pPr>
        <w:spacing w:line="480" w:lineRule="auto"/>
        <w:jc w:val="center"/>
        <w:rPr>
          <w:rFonts w:ascii="Arial" w:eastAsiaTheme="minorEastAsia" w:hAnsi="Arial" w:cs="Arial"/>
          <w:sz w:val="24"/>
          <w:szCs w:val="24"/>
          <w:lang w:val="en-US"/>
        </w:rPr>
      </w:pPr>
      <w:r w:rsidRPr="00C926EC">
        <w:rPr>
          <w:rFonts w:ascii="Arial" w:eastAsiaTheme="minorEastAsia" w:hAnsi="Arial" w:cs="Arial"/>
          <w:sz w:val="24"/>
          <w:szCs w:val="24"/>
          <w:lang w:val="en-US"/>
        </w:rPr>
        <w:t>Table 1. Economic inputs.</w:t>
      </w:r>
    </w:p>
    <w:p w14:paraId="7BC692C8" w14:textId="7C1C2D0B" w:rsidR="00E74680" w:rsidRPr="00C926EC" w:rsidRDefault="00E74680" w:rsidP="0006115B">
      <w:pPr>
        <w:spacing w:line="480" w:lineRule="auto"/>
        <w:jc w:val="both"/>
        <w:rPr>
          <w:rFonts w:ascii="Arial" w:eastAsiaTheme="minorEastAsia" w:hAnsi="Arial" w:cs="Arial"/>
          <w:sz w:val="24"/>
          <w:szCs w:val="24"/>
        </w:rPr>
      </w:pPr>
    </w:p>
    <w:p w14:paraId="26AB764D" w14:textId="4BC80E91" w:rsidR="00E74680" w:rsidRPr="00C926EC" w:rsidRDefault="00E74680" w:rsidP="00E74680">
      <w:pPr>
        <w:pStyle w:val="ListParagraph"/>
        <w:numPr>
          <w:ilvl w:val="1"/>
          <w:numId w:val="1"/>
        </w:numPr>
        <w:spacing w:line="480" w:lineRule="auto"/>
        <w:jc w:val="both"/>
        <w:rPr>
          <w:rFonts w:ascii="Arial" w:hAnsi="Arial" w:cs="Arial"/>
          <w:b/>
          <w:sz w:val="24"/>
          <w:szCs w:val="24"/>
          <w:lang w:val="en-US"/>
        </w:rPr>
      </w:pPr>
      <w:r w:rsidRPr="00C926EC">
        <w:rPr>
          <w:rFonts w:ascii="Arial" w:hAnsi="Arial" w:cs="Arial"/>
          <w:b/>
          <w:sz w:val="24"/>
          <w:szCs w:val="24"/>
          <w:lang w:val="en-US"/>
        </w:rPr>
        <w:t>Strategy</w:t>
      </w:r>
    </w:p>
    <w:p w14:paraId="7E0A24B8" w14:textId="0EA7A532" w:rsidR="002D4212" w:rsidRPr="00C926EC" w:rsidRDefault="0091758E" w:rsidP="0091758E">
      <w:pPr>
        <w:spacing w:line="480" w:lineRule="auto"/>
        <w:jc w:val="both"/>
        <w:rPr>
          <w:rFonts w:ascii="Arial" w:hAnsi="Arial" w:cs="Arial"/>
          <w:sz w:val="24"/>
          <w:szCs w:val="24"/>
          <w:lang w:val="en-US"/>
        </w:rPr>
      </w:pPr>
      <w:r w:rsidRPr="00C926EC">
        <w:rPr>
          <w:rFonts w:ascii="Arial" w:hAnsi="Arial" w:cs="Arial"/>
          <w:sz w:val="24"/>
          <w:szCs w:val="24"/>
          <w:lang w:val="en-US"/>
        </w:rPr>
        <w:t xml:space="preserve">As for the strategy followed to perform our analysis, several scenarios were considered. Table 2 collects all the scenarios analyzed. Each biogas plant size was analyzed independently. Four different baseline cases were defined for each of them in agreement with the distance from the biomethane production point to the natural gas grid: </w:t>
      </w:r>
      <w:r w:rsidR="00FD4762" w:rsidRPr="00C926EC">
        <w:rPr>
          <w:rFonts w:ascii="Arial" w:hAnsi="Arial" w:cs="Arial"/>
          <w:sz w:val="24"/>
          <w:szCs w:val="24"/>
          <w:lang w:val="en-US"/>
        </w:rPr>
        <w:t xml:space="preserve">(1) </w:t>
      </w:r>
      <w:r w:rsidRPr="00C926EC">
        <w:rPr>
          <w:rFonts w:ascii="Arial" w:hAnsi="Arial" w:cs="Arial"/>
          <w:sz w:val="24"/>
          <w:szCs w:val="24"/>
          <w:lang w:val="en-US"/>
        </w:rPr>
        <w:t xml:space="preserve">only biogas upgrading (assuming that the natural gas grid is located within the facilities of the biogas production plant); </w:t>
      </w:r>
      <w:r w:rsidR="00FD4762" w:rsidRPr="00C926EC">
        <w:rPr>
          <w:rFonts w:ascii="Arial" w:hAnsi="Arial" w:cs="Arial"/>
          <w:sz w:val="24"/>
          <w:szCs w:val="24"/>
          <w:lang w:val="en-US"/>
        </w:rPr>
        <w:t xml:space="preserve">(2) </w:t>
      </w:r>
      <w:r w:rsidRPr="00C926EC">
        <w:rPr>
          <w:rFonts w:ascii="Arial" w:hAnsi="Arial" w:cs="Arial"/>
          <w:sz w:val="24"/>
          <w:szCs w:val="24"/>
          <w:lang w:val="en-US"/>
        </w:rPr>
        <w:t xml:space="preserve">upgrading plus 0.5 kms distribution; </w:t>
      </w:r>
      <w:r w:rsidR="00FD4762" w:rsidRPr="00C926EC">
        <w:rPr>
          <w:rFonts w:ascii="Arial" w:hAnsi="Arial" w:cs="Arial"/>
          <w:sz w:val="24"/>
          <w:szCs w:val="24"/>
          <w:lang w:val="en-US"/>
        </w:rPr>
        <w:t xml:space="preserve">(3) </w:t>
      </w:r>
      <w:r w:rsidRPr="00C926EC">
        <w:rPr>
          <w:rFonts w:ascii="Arial" w:hAnsi="Arial" w:cs="Arial"/>
          <w:sz w:val="24"/>
          <w:szCs w:val="24"/>
          <w:lang w:val="en-US"/>
        </w:rPr>
        <w:t xml:space="preserve">upgrading plus 1 km distribution; and </w:t>
      </w:r>
      <w:r w:rsidR="007E0DA1" w:rsidRPr="00C926EC">
        <w:rPr>
          <w:rFonts w:ascii="Arial" w:hAnsi="Arial" w:cs="Arial"/>
          <w:sz w:val="24"/>
          <w:szCs w:val="24"/>
          <w:lang w:val="en-US"/>
        </w:rPr>
        <w:t xml:space="preserve">(4) </w:t>
      </w:r>
      <w:r w:rsidRPr="00C926EC">
        <w:rPr>
          <w:rFonts w:ascii="Arial" w:hAnsi="Arial" w:cs="Arial"/>
          <w:sz w:val="24"/>
          <w:szCs w:val="24"/>
          <w:lang w:val="en-US"/>
        </w:rPr>
        <w:t>upgrading plus 2 kms distribution. The chosen val</w:t>
      </w:r>
      <w:r w:rsidR="007E0DA1" w:rsidRPr="00C926EC">
        <w:rPr>
          <w:rFonts w:ascii="Arial" w:hAnsi="Arial" w:cs="Arial"/>
          <w:sz w:val="24"/>
          <w:szCs w:val="24"/>
          <w:lang w:val="en-US"/>
        </w:rPr>
        <w:t>u</w:t>
      </w:r>
      <w:r w:rsidRPr="00C926EC">
        <w:rPr>
          <w:rFonts w:ascii="Arial" w:hAnsi="Arial" w:cs="Arial"/>
          <w:sz w:val="24"/>
          <w:szCs w:val="24"/>
          <w:lang w:val="en-US"/>
        </w:rPr>
        <w:t>es are selected upon consultation and recommendation of professionals in the sector. Further distances are usually disregarded even for preliminary studies</w:t>
      </w:r>
      <w:r w:rsidR="007E0DA1" w:rsidRPr="00C926EC">
        <w:rPr>
          <w:rFonts w:ascii="Arial" w:hAnsi="Arial" w:cs="Arial"/>
          <w:sz w:val="24"/>
          <w:szCs w:val="24"/>
          <w:lang w:val="en-US"/>
        </w:rPr>
        <w:t>,</w:t>
      </w:r>
      <w:r w:rsidRPr="00C926EC">
        <w:rPr>
          <w:rFonts w:ascii="Arial" w:hAnsi="Arial" w:cs="Arial"/>
          <w:sz w:val="24"/>
          <w:szCs w:val="24"/>
          <w:lang w:val="en-US"/>
        </w:rPr>
        <w:t xml:space="preserve"> due to difficulties in obtaining licenses for the civil engineering activities. Therefore, the total number of baseline scenarios is 12 (scenarios 1-12 of Table 2). Afterwards, the influence of subsidies as feed-in tariffs was analyzed (scenarios 13-24 of Table 2). These scenarios were selected to cover all the baseline options selected. Given the results obtained, we propose the analysis of CO</w:t>
      </w:r>
      <w:r w:rsidRPr="00C926EC">
        <w:rPr>
          <w:rFonts w:ascii="Arial" w:hAnsi="Arial" w:cs="Arial"/>
          <w:sz w:val="24"/>
          <w:szCs w:val="24"/>
          <w:vertAlign w:val="subscript"/>
          <w:lang w:val="en-US"/>
        </w:rPr>
        <w:t>2</w:t>
      </w:r>
      <w:r w:rsidRPr="00C926EC">
        <w:rPr>
          <w:rFonts w:ascii="Arial" w:hAnsi="Arial" w:cs="Arial"/>
          <w:sz w:val="24"/>
          <w:szCs w:val="24"/>
          <w:lang w:val="en-US"/>
        </w:rPr>
        <w:t xml:space="preserve"> penalties needed to revert the negative outputs obtained. </w:t>
      </w:r>
      <w:r w:rsidR="00A01673" w:rsidRPr="00C926EC">
        <w:rPr>
          <w:rFonts w:ascii="Arial" w:hAnsi="Arial" w:cs="Arial"/>
          <w:bCs/>
          <w:iCs/>
          <w:sz w:val="24"/>
          <w:szCs w:val="24"/>
          <w:lang w:val="en-GB"/>
        </w:rPr>
        <w:t>Shipping</w:t>
      </w:r>
      <w:r w:rsidR="00FA30FF">
        <w:rPr>
          <w:rFonts w:ascii="Arial" w:hAnsi="Arial" w:cs="Arial"/>
          <w:bCs/>
          <w:iCs/>
          <w:sz w:val="24"/>
          <w:szCs w:val="24"/>
          <w:lang w:val="en-GB"/>
        </w:rPr>
        <w:t>’</w:t>
      </w:r>
      <w:r w:rsidR="00A01673" w:rsidRPr="00C926EC">
        <w:rPr>
          <w:rFonts w:ascii="Arial" w:hAnsi="Arial" w:cs="Arial"/>
          <w:bCs/>
          <w:iCs/>
          <w:sz w:val="24"/>
          <w:szCs w:val="24"/>
          <w:lang w:val="en-GB"/>
        </w:rPr>
        <w:t>s owner</w:t>
      </w:r>
      <w:r w:rsidR="00FA30FF">
        <w:rPr>
          <w:rFonts w:ascii="Arial" w:hAnsi="Arial" w:cs="Arial"/>
          <w:bCs/>
          <w:iCs/>
          <w:sz w:val="24"/>
          <w:szCs w:val="24"/>
          <w:lang w:val="en-GB"/>
        </w:rPr>
        <w:t>s</w:t>
      </w:r>
      <w:r w:rsidR="00A01673" w:rsidRPr="00C926EC">
        <w:rPr>
          <w:rFonts w:ascii="Arial" w:hAnsi="Arial" w:cs="Arial"/>
          <w:bCs/>
          <w:iCs/>
          <w:sz w:val="24"/>
          <w:szCs w:val="24"/>
          <w:lang w:val="en-GB"/>
        </w:rPr>
        <w:t xml:space="preserve"> are annually charged a </w:t>
      </w:r>
      <w:proofErr w:type="gramStart"/>
      <w:r w:rsidR="00A01673" w:rsidRPr="00C926EC">
        <w:rPr>
          <w:rFonts w:ascii="Arial" w:hAnsi="Arial" w:cs="Arial"/>
          <w:bCs/>
          <w:iCs/>
          <w:sz w:val="24"/>
          <w:szCs w:val="24"/>
          <w:lang w:val="en-GB"/>
        </w:rPr>
        <w:t>significant  tax</w:t>
      </w:r>
      <w:proofErr w:type="gramEnd"/>
      <w:r w:rsidR="00A01673" w:rsidRPr="00C926EC">
        <w:rPr>
          <w:rFonts w:ascii="Arial" w:hAnsi="Arial" w:cs="Arial"/>
          <w:bCs/>
          <w:iCs/>
          <w:sz w:val="24"/>
          <w:szCs w:val="24"/>
          <w:lang w:val="en-GB"/>
        </w:rPr>
        <w:t xml:space="preserve"> (carbon tax) per tonne of CO</w:t>
      </w:r>
      <w:r w:rsidR="00A01673" w:rsidRPr="00C926EC">
        <w:rPr>
          <w:rFonts w:ascii="Arial" w:hAnsi="Arial" w:cs="Arial"/>
          <w:bCs/>
          <w:iCs/>
          <w:sz w:val="24"/>
          <w:szCs w:val="24"/>
          <w:vertAlign w:val="subscript"/>
          <w:lang w:val="en-GB"/>
        </w:rPr>
        <w:t>2</w:t>
      </w:r>
      <w:r w:rsidR="00A01673" w:rsidRPr="00C926EC">
        <w:rPr>
          <w:rFonts w:ascii="Arial" w:hAnsi="Arial" w:cs="Arial"/>
          <w:bCs/>
          <w:iCs/>
          <w:sz w:val="24"/>
          <w:szCs w:val="24"/>
          <w:lang w:val="en-GB"/>
        </w:rPr>
        <w:t xml:space="preserve"> emitted, w</w:t>
      </w:r>
      <w:proofErr w:type="spellStart"/>
      <w:r w:rsidR="00A01673" w:rsidRPr="00C926EC">
        <w:rPr>
          <w:rFonts w:ascii="Arial" w:hAnsi="Arial" w:cs="Arial"/>
          <w:sz w:val="24"/>
          <w:szCs w:val="24"/>
          <w:lang w:val="en-US"/>
        </w:rPr>
        <w:t>hich</w:t>
      </w:r>
      <w:proofErr w:type="spellEnd"/>
      <w:r w:rsidR="00A01673" w:rsidRPr="00C926EC">
        <w:rPr>
          <w:rFonts w:ascii="Arial" w:hAnsi="Arial" w:cs="Arial"/>
          <w:sz w:val="24"/>
          <w:szCs w:val="24"/>
          <w:lang w:val="en-US"/>
        </w:rPr>
        <w:t xml:space="preserve"> comes from</w:t>
      </w:r>
      <w:r w:rsidRPr="00C926EC">
        <w:rPr>
          <w:rFonts w:ascii="Arial" w:hAnsi="Arial" w:cs="Arial"/>
          <w:sz w:val="24"/>
          <w:szCs w:val="24"/>
          <w:lang w:val="en-US"/>
        </w:rPr>
        <w:t xml:space="preserve"> using traditional fuels. To this end, it was assumed that the fuel used is CNG, which is in fair agreement </w:t>
      </w:r>
      <w:r w:rsidRPr="00C926EC">
        <w:rPr>
          <w:rFonts w:ascii="Arial" w:hAnsi="Arial" w:cs="Arial"/>
          <w:sz w:val="24"/>
          <w:szCs w:val="24"/>
          <w:lang w:val="en-US"/>
        </w:rPr>
        <w:lastRenderedPageBreak/>
        <w:t>with data gathered directly from professionals within the sector. In particular, the CO</w:t>
      </w:r>
      <w:r w:rsidRPr="00C926EC">
        <w:rPr>
          <w:rFonts w:ascii="Arial" w:hAnsi="Arial" w:cs="Arial"/>
          <w:sz w:val="24"/>
          <w:szCs w:val="24"/>
          <w:vertAlign w:val="subscript"/>
          <w:lang w:val="en-US"/>
        </w:rPr>
        <w:t>2</w:t>
      </w:r>
      <w:r w:rsidRPr="00C926EC">
        <w:rPr>
          <w:rFonts w:ascii="Arial" w:hAnsi="Arial" w:cs="Arial"/>
          <w:sz w:val="24"/>
          <w:szCs w:val="24"/>
          <w:lang w:val="en-US"/>
        </w:rPr>
        <w:t xml:space="preserve"> reduction coming from switching to biomethane was calculated </w:t>
      </w:r>
      <w:r w:rsidR="007E0DA1" w:rsidRPr="00C926EC">
        <w:rPr>
          <w:rFonts w:ascii="Arial" w:hAnsi="Arial" w:cs="Arial"/>
          <w:sz w:val="24"/>
          <w:szCs w:val="24"/>
          <w:lang w:val="en-US"/>
        </w:rPr>
        <w:t xml:space="preserve">by </w:t>
      </w:r>
      <w:r w:rsidRPr="00C926EC">
        <w:rPr>
          <w:rFonts w:ascii="Arial" w:hAnsi="Arial" w:cs="Arial"/>
          <w:sz w:val="24"/>
          <w:szCs w:val="24"/>
          <w:lang w:val="en-US"/>
        </w:rPr>
        <w:t>using an emission factor of 3.3 kg of CO</w:t>
      </w:r>
      <w:r w:rsidRPr="00C926EC">
        <w:rPr>
          <w:rFonts w:ascii="Arial" w:hAnsi="Arial" w:cs="Arial"/>
          <w:sz w:val="24"/>
          <w:szCs w:val="24"/>
          <w:vertAlign w:val="subscript"/>
          <w:lang w:val="en-US"/>
        </w:rPr>
        <w:t>2</w:t>
      </w:r>
      <w:r w:rsidRPr="00C926EC">
        <w:rPr>
          <w:rFonts w:ascii="Arial" w:hAnsi="Arial" w:cs="Arial"/>
          <w:sz w:val="24"/>
          <w:szCs w:val="24"/>
          <w:lang w:val="en-US"/>
        </w:rPr>
        <w:t xml:space="preserve"> per kg of CNG. This analysis is further explained in the results section and collected in scenarios 25-36 of Table 2. The influence of cost</w:t>
      </w:r>
      <w:r w:rsidR="007E0DA1" w:rsidRPr="00C926EC">
        <w:rPr>
          <w:rFonts w:ascii="Arial" w:hAnsi="Arial" w:cs="Arial"/>
          <w:sz w:val="24"/>
          <w:szCs w:val="24"/>
          <w:lang w:val="en-US"/>
        </w:rPr>
        <w:t>s</w:t>
      </w:r>
      <w:r w:rsidRPr="00C926EC">
        <w:rPr>
          <w:rFonts w:ascii="Arial" w:hAnsi="Arial" w:cs="Arial"/>
          <w:sz w:val="24"/>
          <w:szCs w:val="24"/>
          <w:lang w:val="en-US"/>
        </w:rPr>
        <w:t xml:space="preserve"> reduction is also examined in scenarios 37-48 through the applying on the project subsidies as percentage of investment. Again, these scenarios were selected to cover the whole range of the baseline scenarios and provide a wide comparison. Finally, a sensitivity analysis </w:t>
      </w:r>
      <w:r w:rsidR="007E0DA1" w:rsidRPr="00C926EC">
        <w:rPr>
          <w:rFonts w:ascii="Arial" w:hAnsi="Arial" w:cs="Arial"/>
          <w:sz w:val="24"/>
          <w:szCs w:val="24"/>
          <w:lang w:val="en-US"/>
        </w:rPr>
        <w:t>wa</w:t>
      </w:r>
      <w:r w:rsidRPr="00C926EC">
        <w:rPr>
          <w:rFonts w:ascii="Arial" w:hAnsi="Arial" w:cs="Arial"/>
          <w:sz w:val="24"/>
          <w:szCs w:val="24"/>
          <w:lang w:val="en-US"/>
        </w:rPr>
        <w:t>s carried out to evaluate the influence of the rest of parameters used (scenarios 49-66). The ranges selected for these variables are based on the following aspects</w:t>
      </w:r>
      <w:r w:rsidR="007E0DA1" w:rsidRPr="00C926EC">
        <w:rPr>
          <w:rFonts w:ascii="Arial" w:hAnsi="Arial" w:cs="Arial"/>
          <w:sz w:val="24"/>
          <w:szCs w:val="24"/>
          <w:lang w:val="en-US"/>
        </w:rPr>
        <w:t>.</w:t>
      </w:r>
      <w:r w:rsidRPr="00C926EC">
        <w:rPr>
          <w:rFonts w:ascii="Arial" w:hAnsi="Arial" w:cs="Arial"/>
          <w:sz w:val="24"/>
          <w:szCs w:val="24"/>
          <w:lang w:val="en-US"/>
        </w:rPr>
        <w:t xml:space="preserve"> For the number of workers, as explained previously, four workers are usually assumed for small plant sizes. It would be rather unlikely to find more than five operators in th</w:t>
      </w:r>
      <w:r w:rsidR="007E0DA1" w:rsidRPr="00C926EC">
        <w:rPr>
          <w:rFonts w:ascii="Arial" w:hAnsi="Arial" w:cs="Arial"/>
          <w:sz w:val="24"/>
          <w:szCs w:val="24"/>
          <w:lang w:val="en-US"/>
        </w:rPr>
        <w:t>is</w:t>
      </w:r>
      <w:r w:rsidRPr="00C926EC">
        <w:rPr>
          <w:rFonts w:ascii="Arial" w:hAnsi="Arial" w:cs="Arial"/>
          <w:sz w:val="24"/>
          <w:szCs w:val="24"/>
          <w:lang w:val="en-US"/>
        </w:rPr>
        <w:t xml:space="preserve"> type of small plants. Equivalently, less than three workers would be not suitable for attending the day-to-day tasks in the plant. The value</w:t>
      </w:r>
      <w:r w:rsidR="007E0DA1" w:rsidRPr="00C926EC">
        <w:rPr>
          <w:rFonts w:ascii="Arial" w:hAnsi="Arial" w:cs="Arial"/>
          <w:sz w:val="24"/>
          <w:szCs w:val="24"/>
          <w:lang w:val="en-US"/>
        </w:rPr>
        <w:t>s</w:t>
      </w:r>
      <w:r w:rsidRPr="00C926EC">
        <w:rPr>
          <w:rFonts w:ascii="Arial" w:hAnsi="Arial" w:cs="Arial"/>
          <w:sz w:val="24"/>
          <w:szCs w:val="24"/>
          <w:lang w:val="en-US"/>
        </w:rPr>
        <w:t xml:space="preserve"> chosen for the discount rate and for the interest rate were selected in agreement with the discussion given in the previous section. The values chosen for the sensitivity analysis performed on M&amp;O, </w:t>
      </w:r>
      <w:proofErr w:type="spellStart"/>
      <w:r w:rsidRPr="00C926EC">
        <w:rPr>
          <w:rFonts w:ascii="Arial" w:hAnsi="Arial" w:cs="Arial"/>
          <w:sz w:val="24"/>
          <w:szCs w:val="24"/>
          <w:lang w:val="en-US"/>
        </w:rPr>
        <w:t>C</w:t>
      </w:r>
      <w:r w:rsidRPr="00C926EC">
        <w:rPr>
          <w:rFonts w:ascii="Arial" w:hAnsi="Arial" w:cs="Arial"/>
          <w:sz w:val="24"/>
          <w:szCs w:val="24"/>
          <w:vertAlign w:val="subscript"/>
          <w:lang w:val="en-US"/>
        </w:rPr>
        <w:t>eu</w:t>
      </w:r>
      <w:proofErr w:type="spellEnd"/>
      <w:r w:rsidRPr="00C926EC">
        <w:rPr>
          <w:rFonts w:ascii="Arial" w:hAnsi="Arial" w:cs="Arial"/>
          <w:sz w:val="24"/>
          <w:szCs w:val="24"/>
          <w:lang w:val="en-US"/>
        </w:rPr>
        <w:t>, and C</w:t>
      </w:r>
      <w:r w:rsidRPr="00C926EC">
        <w:rPr>
          <w:rFonts w:ascii="Arial" w:hAnsi="Arial" w:cs="Arial"/>
          <w:sz w:val="24"/>
          <w:szCs w:val="24"/>
          <w:vertAlign w:val="subscript"/>
          <w:lang w:val="en-US"/>
        </w:rPr>
        <w:t>i</w:t>
      </w:r>
      <w:r w:rsidRPr="00C926EC">
        <w:rPr>
          <w:rFonts w:ascii="Arial" w:hAnsi="Arial" w:cs="Arial"/>
          <w:sz w:val="24"/>
          <w:szCs w:val="24"/>
          <w:lang w:val="en-US"/>
        </w:rPr>
        <w:t xml:space="preserve"> were selected following recommendation of professional workers in this field. For this type of industrial plants these parameters are very-well optimized and rarely presents big differences from the budget targeted.</w:t>
      </w:r>
    </w:p>
    <w:p w14:paraId="6DBEF91E" w14:textId="58CDCB5E" w:rsidR="00731EC3" w:rsidRPr="00C926EC" w:rsidRDefault="008702A1" w:rsidP="0095377F">
      <w:pPr>
        <w:spacing w:line="480" w:lineRule="auto"/>
        <w:jc w:val="center"/>
        <w:rPr>
          <w:rFonts w:ascii="Arial" w:eastAsiaTheme="minorEastAsia" w:hAnsi="Arial" w:cs="Arial"/>
          <w:sz w:val="24"/>
          <w:szCs w:val="24"/>
          <w:lang w:val="en-US"/>
        </w:rPr>
      </w:pPr>
      <w:r w:rsidRPr="00C926EC">
        <w:rPr>
          <w:rFonts w:ascii="Arial" w:eastAsiaTheme="minorEastAsia" w:hAnsi="Arial" w:cs="Arial"/>
          <w:sz w:val="24"/>
          <w:szCs w:val="24"/>
          <w:lang w:val="en-US"/>
        </w:rPr>
        <w:t>Table 2</w:t>
      </w:r>
      <w:r w:rsidR="00731EC3" w:rsidRPr="00C926EC">
        <w:rPr>
          <w:rFonts w:ascii="Arial" w:eastAsiaTheme="minorEastAsia" w:hAnsi="Arial" w:cs="Arial"/>
          <w:sz w:val="24"/>
          <w:szCs w:val="24"/>
          <w:lang w:val="en-US"/>
        </w:rPr>
        <w:t>. Matrix of the scenarios analyzed.</w:t>
      </w:r>
    </w:p>
    <w:p w14:paraId="64D166E1" w14:textId="0726E8FC" w:rsidR="00B9054D" w:rsidRPr="00C926EC" w:rsidRDefault="00B9054D" w:rsidP="00E74680">
      <w:pPr>
        <w:pStyle w:val="ListParagraph"/>
        <w:numPr>
          <w:ilvl w:val="0"/>
          <w:numId w:val="1"/>
        </w:numPr>
        <w:spacing w:line="480" w:lineRule="auto"/>
        <w:ind w:left="360"/>
        <w:jc w:val="both"/>
        <w:rPr>
          <w:rFonts w:ascii="Arial" w:hAnsi="Arial" w:cs="Arial"/>
          <w:b/>
          <w:sz w:val="24"/>
          <w:szCs w:val="24"/>
          <w:lang w:val="en-GB"/>
        </w:rPr>
      </w:pPr>
      <w:r w:rsidRPr="00C926EC">
        <w:rPr>
          <w:rFonts w:ascii="Arial" w:hAnsi="Arial" w:cs="Arial"/>
          <w:b/>
          <w:sz w:val="24"/>
          <w:szCs w:val="24"/>
          <w:lang w:val="en-GB"/>
        </w:rPr>
        <w:t>Results</w:t>
      </w:r>
    </w:p>
    <w:p w14:paraId="22AA7472" w14:textId="31BF1E4A" w:rsidR="00B75D37" w:rsidRPr="00C926EC" w:rsidRDefault="00DE016D" w:rsidP="00B75D37">
      <w:pPr>
        <w:spacing w:line="480" w:lineRule="auto"/>
        <w:jc w:val="both"/>
        <w:rPr>
          <w:rFonts w:ascii="Arial" w:hAnsi="Arial" w:cs="Arial"/>
          <w:bCs/>
          <w:iCs/>
          <w:sz w:val="24"/>
          <w:szCs w:val="24"/>
          <w:lang w:val="en-GB"/>
        </w:rPr>
      </w:pPr>
      <w:r w:rsidRPr="00C926EC">
        <w:rPr>
          <w:rFonts w:ascii="Arial" w:hAnsi="Arial" w:cs="Arial"/>
          <w:bCs/>
          <w:iCs/>
          <w:sz w:val="24"/>
          <w:szCs w:val="24"/>
          <w:lang w:val="en-GB"/>
        </w:rPr>
        <w:t>Figure</w:t>
      </w:r>
      <w:r w:rsidR="001B734E" w:rsidRPr="00C926EC">
        <w:rPr>
          <w:rFonts w:ascii="Arial" w:hAnsi="Arial" w:cs="Arial"/>
          <w:bCs/>
          <w:iCs/>
          <w:sz w:val="24"/>
          <w:szCs w:val="24"/>
          <w:lang w:val="en-GB"/>
        </w:rPr>
        <w:t xml:space="preserve"> 2</w:t>
      </w:r>
      <w:r w:rsidRPr="00C926EC">
        <w:rPr>
          <w:rFonts w:ascii="Arial" w:hAnsi="Arial" w:cs="Arial"/>
          <w:bCs/>
          <w:iCs/>
          <w:sz w:val="24"/>
          <w:szCs w:val="24"/>
          <w:lang w:val="en-GB"/>
        </w:rPr>
        <w:t xml:space="preserve"> </w:t>
      </w:r>
      <w:r w:rsidR="00B71EDE" w:rsidRPr="00C926EC">
        <w:rPr>
          <w:rFonts w:ascii="Arial" w:hAnsi="Arial" w:cs="Arial"/>
          <w:bCs/>
          <w:iCs/>
          <w:sz w:val="24"/>
          <w:szCs w:val="24"/>
          <w:lang w:val="en-GB"/>
        </w:rPr>
        <w:t xml:space="preserve">showcases </w:t>
      </w:r>
      <w:r w:rsidRPr="00C926EC">
        <w:rPr>
          <w:rFonts w:ascii="Arial" w:hAnsi="Arial" w:cs="Arial"/>
          <w:bCs/>
          <w:iCs/>
          <w:sz w:val="24"/>
          <w:szCs w:val="24"/>
          <w:lang w:val="en-GB"/>
        </w:rPr>
        <w:t xml:space="preserve">the </w:t>
      </w:r>
      <w:r w:rsidR="00A93AE5" w:rsidRPr="00C926EC">
        <w:rPr>
          <w:rFonts w:ascii="Arial" w:hAnsi="Arial" w:cs="Arial"/>
          <w:bCs/>
          <w:iCs/>
          <w:sz w:val="24"/>
          <w:szCs w:val="24"/>
          <w:lang w:val="en-GB"/>
        </w:rPr>
        <w:t>economic outputs obtained for NPV</w:t>
      </w:r>
      <w:r w:rsidR="007E0C6D" w:rsidRPr="00C926EC">
        <w:rPr>
          <w:rFonts w:ascii="Arial" w:hAnsi="Arial" w:cs="Arial"/>
          <w:bCs/>
          <w:iCs/>
          <w:sz w:val="24"/>
          <w:szCs w:val="24"/>
          <w:lang w:val="en-GB"/>
        </w:rPr>
        <w:t xml:space="preserve"> and PI</w:t>
      </w:r>
      <w:r w:rsidR="00A93AE5" w:rsidRPr="00C926EC">
        <w:rPr>
          <w:rFonts w:ascii="Arial" w:hAnsi="Arial" w:cs="Arial"/>
          <w:bCs/>
          <w:iCs/>
          <w:sz w:val="24"/>
          <w:szCs w:val="24"/>
          <w:lang w:val="en-GB"/>
        </w:rPr>
        <w:t xml:space="preserve"> for the baseline cases. </w:t>
      </w:r>
      <w:r w:rsidR="003C72BD" w:rsidRPr="00C926EC">
        <w:rPr>
          <w:rFonts w:ascii="Arial" w:hAnsi="Arial" w:cs="Arial"/>
          <w:bCs/>
          <w:iCs/>
          <w:sz w:val="24"/>
          <w:szCs w:val="24"/>
          <w:lang w:val="en-GB"/>
        </w:rPr>
        <w:t xml:space="preserve">Although </w:t>
      </w:r>
      <w:r w:rsidR="00A93AE5" w:rsidRPr="00C926EC">
        <w:rPr>
          <w:rFonts w:ascii="Arial" w:hAnsi="Arial" w:cs="Arial"/>
          <w:bCs/>
          <w:iCs/>
          <w:sz w:val="24"/>
          <w:szCs w:val="24"/>
          <w:lang w:val="en-GB"/>
        </w:rPr>
        <w:t xml:space="preserve">our idea is a promising low-carbon strategy for small </w:t>
      </w:r>
      <w:proofErr w:type="spellStart"/>
      <w:r w:rsidR="00A93AE5" w:rsidRPr="00C926EC">
        <w:rPr>
          <w:rFonts w:ascii="Arial" w:hAnsi="Arial" w:cs="Arial"/>
          <w:bCs/>
          <w:iCs/>
          <w:sz w:val="24"/>
          <w:szCs w:val="24"/>
          <w:lang w:val="en-GB"/>
        </w:rPr>
        <w:t>shippings</w:t>
      </w:r>
      <w:proofErr w:type="spellEnd"/>
      <w:r w:rsidR="00A93AE5" w:rsidRPr="00C926EC">
        <w:rPr>
          <w:rFonts w:ascii="Arial" w:hAnsi="Arial" w:cs="Arial"/>
          <w:bCs/>
          <w:iCs/>
          <w:sz w:val="24"/>
          <w:szCs w:val="24"/>
          <w:lang w:val="en-GB"/>
        </w:rPr>
        <w:t xml:space="preserve">, the </w:t>
      </w:r>
      <w:proofErr w:type="spellStart"/>
      <w:r w:rsidR="00C81737" w:rsidRPr="00C926EC">
        <w:rPr>
          <w:rFonts w:ascii="Arial" w:hAnsi="Arial" w:cs="Arial"/>
          <w:bCs/>
          <w:iCs/>
          <w:sz w:val="24"/>
          <w:szCs w:val="24"/>
          <w:lang w:val="en-GB"/>
        </w:rPr>
        <w:t>aproach</w:t>
      </w:r>
      <w:proofErr w:type="spellEnd"/>
      <w:r w:rsidR="00C81737" w:rsidRPr="00C926EC">
        <w:rPr>
          <w:rFonts w:ascii="Arial" w:hAnsi="Arial" w:cs="Arial"/>
          <w:bCs/>
          <w:iCs/>
          <w:sz w:val="24"/>
          <w:szCs w:val="24"/>
          <w:lang w:val="en-GB"/>
        </w:rPr>
        <w:t xml:space="preserve"> </w:t>
      </w:r>
      <w:r w:rsidR="00A93AE5" w:rsidRPr="00C926EC">
        <w:rPr>
          <w:rFonts w:ascii="Arial" w:hAnsi="Arial" w:cs="Arial"/>
          <w:bCs/>
          <w:iCs/>
          <w:sz w:val="24"/>
          <w:szCs w:val="24"/>
          <w:lang w:val="en-GB"/>
        </w:rPr>
        <w:t>is not economically appealing</w:t>
      </w:r>
      <w:r w:rsidR="00B414E2" w:rsidRPr="00C926EC">
        <w:rPr>
          <w:rFonts w:ascii="Arial" w:hAnsi="Arial" w:cs="Arial"/>
          <w:bCs/>
          <w:iCs/>
          <w:sz w:val="24"/>
          <w:szCs w:val="24"/>
          <w:lang w:val="en-GB"/>
        </w:rPr>
        <w:t xml:space="preserve"> (NPV between -4060 and -</w:t>
      </w:r>
      <w:r w:rsidR="00B414E2" w:rsidRPr="00C926EC">
        <w:rPr>
          <w:rFonts w:ascii="Arial" w:hAnsi="Arial" w:cs="Arial"/>
          <w:bCs/>
          <w:iCs/>
          <w:sz w:val="24"/>
          <w:szCs w:val="24"/>
          <w:lang w:val="en-GB"/>
        </w:rPr>
        <w:lastRenderedPageBreak/>
        <w:t>5524 k€</w:t>
      </w:r>
      <w:r w:rsidR="007E0C6D" w:rsidRPr="00C926EC">
        <w:rPr>
          <w:rFonts w:ascii="Arial" w:hAnsi="Arial" w:cs="Arial"/>
          <w:bCs/>
          <w:iCs/>
          <w:sz w:val="24"/>
          <w:szCs w:val="24"/>
          <w:lang w:val="en-GB"/>
        </w:rPr>
        <w:t>, Figure 2.A</w:t>
      </w:r>
      <w:r w:rsidR="00B414E2" w:rsidRPr="00C926EC">
        <w:rPr>
          <w:rFonts w:ascii="Arial" w:hAnsi="Arial" w:cs="Arial"/>
          <w:bCs/>
          <w:iCs/>
          <w:sz w:val="24"/>
          <w:szCs w:val="24"/>
          <w:lang w:val="en-GB"/>
        </w:rPr>
        <w:t xml:space="preserve">). </w:t>
      </w:r>
      <w:r w:rsidR="00B679C4" w:rsidRPr="00C926EC">
        <w:rPr>
          <w:rFonts w:ascii="Arial" w:hAnsi="Arial" w:cs="Arial"/>
          <w:bCs/>
          <w:iCs/>
          <w:sz w:val="24"/>
          <w:szCs w:val="24"/>
          <w:lang w:val="en-GB"/>
        </w:rPr>
        <w:t>Certainly</w:t>
      </w:r>
      <w:r w:rsidR="007E0DA1" w:rsidRPr="00C926EC">
        <w:rPr>
          <w:rFonts w:ascii="Arial" w:hAnsi="Arial" w:cs="Arial"/>
          <w:bCs/>
          <w:iCs/>
          <w:sz w:val="24"/>
          <w:szCs w:val="24"/>
          <w:lang w:val="en-GB"/>
        </w:rPr>
        <w:t>,</w:t>
      </w:r>
      <w:r w:rsidR="00B414E2" w:rsidRPr="00C926EC">
        <w:rPr>
          <w:rFonts w:ascii="Arial" w:hAnsi="Arial" w:cs="Arial"/>
          <w:bCs/>
          <w:iCs/>
          <w:sz w:val="24"/>
          <w:szCs w:val="24"/>
          <w:lang w:val="en-GB"/>
        </w:rPr>
        <w:t xml:space="preserve"> these economic results could be improved through </w:t>
      </w:r>
      <w:r w:rsidR="007E0DA1" w:rsidRPr="00C926EC">
        <w:rPr>
          <w:rFonts w:ascii="Arial" w:hAnsi="Arial" w:cs="Arial"/>
          <w:bCs/>
          <w:iCs/>
          <w:sz w:val="24"/>
          <w:szCs w:val="24"/>
          <w:lang w:val="en-GB"/>
        </w:rPr>
        <w:t xml:space="preserve">the </w:t>
      </w:r>
      <w:r w:rsidR="00B414E2" w:rsidRPr="00C926EC">
        <w:rPr>
          <w:rFonts w:ascii="Arial" w:hAnsi="Arial" w:cs="Arial"/>
          <w:bCs/>
          <w:iCs/>
          <w:sz w:val="24"/>
          <w:szCs w:val="24"/>
          <w:lang w:val="en-GB"/>
        </w:rPr>
        <w:t>optimization of several parameters</w:t>
      </w:r>
      <w:r w:rsidR="007E0DA1" w:rsidRPr="00C926EC">
        <w:rPr>
          <w:rFonts w:ascii="Arial" w:hAnsi="Arial" w:cs="Arial"/>
          <w:bCs/>
          <w:iCs/>
          <w:sz w:val="24"/>
          <w:szCs w:val="24"/>
          <w:lang w:val="en-GB"/>
        </w:rPr>
        <w:t xml:space="preserve"> </w:t>
      </w:r>
      <w:r w:rsidR="00B414E2" w:rsidRPr="00C926EC">
        <w:rPr>
          <w:rFonts w:ascii="Arial" w:hAnsi="Arial" w:cs="Arial"/>
          <w:bCs/>
          <w:iCs/>
          <w:sz w:val="24"/>
          <w:szCs w:val="24"/>
          <w:lang w:val="en-GB"/>
        </w:rPr>
        <w:t>(i.e.</w:t>
      </w:r>
      <w:r w:rsidR="007E0DA1" w:rsidRPr="00C926EC">
        <w:rPr>
          <w:rFonts w:ascii="Arial" w:hAnsi="Arial" w:cs="Arial"/>
          <w:bCs/>
          <w:iCs/>
          <w:sz w:val="24"/>
          <w:szCs w:val="24"/>
          <w:lang w:val="en-GB"/>
        </w:rPr>
        <w:t>,</w:t>
      </w:r>
      <w:r w:rsidR="00B414E2" w:rsidRPr="00C926EC">
        <w:rPr>
          <w:rFonts w:ascii="Arial" w:hAnsi="Arial" w:cs="Arial"/>
          <w:bCs/>
          <w:iCs/>
          <w:sz w:val="24"/>
          <w:szCs w:val="24"/>
          <w:lang w:val="en-GB"/>
        </w:rPr>
        <w:t xml:space="preserve"> reducing energy consumption)</w:t>
      </w:r>
      <w:r w:rsidR="00B679C4" w:rsidRPr="00C926EC">
        <w:rPr>
          <w:rFonts w:ascii="Arial" w:hAnsi="Arial" w:cs="Arial"/>
          <w:bCs/>
          <w:iCs/>
          <w:sz w:val="24"/>
          <w:szCs w:val="24"/>
          <w:lang w:val="en-GB"/>
        </w:rPr>
        <w:t>. Yet,</w:t>
      </w:r>
      <w:r w:rsidR="0091758E" w:rsidRPr="00C926EC">
        <w:rPr>
          <w:rFonts w:ascii="Arial" w:hAnsi="Arial" w:cs="Arial"/>
          <w:bCs/>
          <w:iCs/>
          <w:sz w:val="24"/>
          <w:szCs w:val="24"/>
          <w:lang w:val="en-GB"/>
        </w:rPr>
        <w:t xml:space="preserve"> </w:t>
      </w:r>
      <w:r w:rsidR="00B414E2" w:rsidRPr="00C926EC">
        <w:rPr>
          <w:rFonts w:ascii="Arial" w:hAnsi="Arial" w:cs="Arial"/>
          <w:bCs/>
          <w:iCs/>
          <w:sz w:val="24"/>
          <w:szCs w:val="24"/>
          <w:lang w:val="en-GB"/>
        </w:rPr>
        <w:t>it is difficult to surmount the profitability of the project</w:t>
      </w:r>
      <w:r w:rsidR="00B679C4" w:rsidRPr="00C926EC">
        <w:rPr>
          <w:rFonts w:ascii="Arial" w:hAnsi="Arial" w:cs="Arial"/>
          <w:bCs/>
          <w:iCs/>
          <w:sz w:val="24"/>
          <w:szCs w:val="24"/>
          <w:lang w:val="en-GB"/>
        </w:rPr>
        <w:t xml:space="preserve"> in view of the obtained results</w:t>
      </w:r>
      <w:r w:rsidR="00B414E2" w:rsidRPr="00C926EC">
        <w:rPr>
          <w:rFonts w:ascii="Arial" w:hAnsi="Arial" w:cs="Arial"/>
          <w:bCs/>
          <w:iCs/>
          <w:sz w:val="24"/>
          <w:szCs w:val="24"/>
          <w:lang w:val="en-GB"/>
        </w:rPr>
        <w:t>.</w:t>
      </w:r>
      <w:r w:rsidR="00B679C4" w:rsidRPr="00C926EC">
        <w:rPr>
          <w:rFonts w:ascii="Arial" w:hAnsi="Arial" w:cs="Arial"/>
          <w:bCs/>
          <w:iCs/>
          <w:sz w:val="24"/>
          <w:szCs w:val="24"/>
          <w:lang w:val="en-GB"/>
        </w:rPr>
        <w:t xml:space="preserve"> I</w:t>
      </w:r>
      <w:r w:rsidR="00937948" w:rsidRPr="00C926EC">
        <w:rPr>
          <w:rFonts w:ascii="Arial" w:hAnsi="Arial" w:cs="Arial"/>
          <w:bCs/>
          <w:iCs/>
          <w:sz w:val="24"/>
          <w:szCs w:val="24"/>
          <w:lang w:val="en-GB"/>
        </w:rPr>
        <w:t xml:space="preserve">ncreasing the plant size </w:t>
      </w:r>
      <w:r w:rsidR="00B679C4" w:rsidRPr="00C926EC">
        <w:rPr>
          <w:rFonts w:ascii="Arial" w:hAnsi="Arial" w:cs="Arial"/>
          <w:bCs/>
          <w:iCs/>
          <w:sz w:val="24"/>
          <w:szCs w:val="24"/>
          <w:lang w:val="en-GB"/>
        </w:rPr>
        <w:t>is</w:t>
      </w:r>
      <w:r w:rsidR="007E0DA1" w:rsidRPr="00C926EC">
        <w:rPr>
          <w:rFonts w:ascii="Arial" w:hAnsi="Arial" w:cs="Arial"/>
          <w:bCs/>
          <w:iCs/>
          <w:sz w:val="24"/>
          <w:szCs w:val="24"/>
          <w:lang w:val="en-GB"/>
        </w:rPr>
        <w:t xml:space="preserve"> a</w:t>
      </w:r>
      <w:r w:rsidR="00B679C4" w:rsidRPr="00C926EC">
        <w:rPr>
          <w:rFonts w:ascii="Arial" w:hAnsi="Arial" w:cs="Arial"/>
          <w:bCs/>
          <w:iCs/>
          <w:sz w:val="24"/>
          <w:szCs w:val="24"/>
          <w:lang w:val="en-GB"/>
        </w:rPr>
        <w:t xml:space="preserve"> typical strategy to improve profitability in biogas upgrading schemes </w:t>
      </w:r>
      <w:r w:rsidR="0091758E" w:rsidRPr="00C926EC">
        <w:rPr>
          <w:rFonts w:ascii="Arial" w:hAnsi="Arial" w:cs="Arial"/>
          <w:sz w:val="24"/>
          <w:szCs w:val="24"/>
          <w:lang w:val="en-US"/>
        </w:rPr>
        <w:fldChar w:fldCharType="begin" w:fldLock="1"/>
      </w:r>
      <w:r w:rsidR="0091758E" w:rsidRPr="00C926EC">
        <w:rPr>
          <w:rFonts w:ascii="Arial" w:hAnsi="Arial" w:cs="Arial"/>
          <w:sz w:val="24"/>
          <w:szCs w:val="24"/>
          <w:lang w:val="en-US"/>
        </w:rPr>
        <w:instrText>ADDIN CSL_CITATION {"citationItems":[{"id":"ITEM-1","itemData":{"DOI":"10.1016/j.enconman.2020.113058","ISSN":"01968904","abstract":"In this paper we present a techno-economic analysis of a novel route for biomethane – urea co-production from biogas. The idea emerges as an alternative path for improving the profitability of biogas upgrading plants. The profitability of four different biogas plant sizes (100, 250, 500, and 1000 m3/h) in four European countries (Spain, Italy, United Kingdom and Germany) is studied under the current policy schemes for biomethane production of each country. Our study evidences that with the present policy schemes for biomethane production, only medium and large scale plants (500 and 1000 m3/h) in Italy would be profitable. The reason is the current strong support for biomethane production in Italy through feed-in tariffs subsidies. In this sense, we analysed the potential benefits of governmental incentives through bio-methane subsidies (feed-in tariffs and investment percentage). Feed-in tariffs proved to be a worthwhile solution for large plants. Indeed, profitability is reached under subsidies of 30–48 €/MWh. Overall, plants located in southern EU countries are more likely to reach profitability with lower subsidies. The potential of costs reduction (i.e. ammonia price) was also analysed, showing that cutting-down production costs is essential to reduce the amount of subsidies received. In summary, our study shows the challenge that European policies face in the path towards a bio-based economy using biogas upgrading as reference case.","author":[{"dropping-particle":"","family":"Baena-Moreno","given":"Francisco M.","non-dropping-particle":"","parse-names":false,"suffix":""},{"dropping-particle":"","family":"Sebastia-Saez","given":"D.","non-dropping-particle":"","parse-names":false,"suffix":""},{"dropping-particle":"","family":"Wang","given":"Qiang","non-dropping-particle":"","parse-names":false,"suffix":""},{"dropping-particle":"","family":"Reina","given":"T. R.","non-dropping-particle":"","parse-names":false,"suffix":""}],"container-title":"Energy Conversion and Management","id":"ITEM-1","issued":{"date-parts":[["2020"]]},"title":"Is the production of biofuels and bio-chemicals always profitable? Co-production of biomethane and urea from biogas as case study","type":"article-journal"},"uris":["http://www.mendeley.com/documents/?uuid=1a468947-5e8f-41dc-a6db-8156a7b06160"]}],"mendeley":{"formattedCitation":"(Baena-Moreno et al., 2020e)","plainTextFormattedCitation":"(Baena-Moreno et al., 2020e)","previouslyFormattedCitation":"(Baena-Moreno et al., 2020e)"},"properties":{"noteIndex":0},"schema":"https://github.com/citation-style-language/schema/raw/master/csl-citation.json"}</w:instrText>
      </w:r>
      <w:r w:rsidR="0091758E" w:rsidRPr="00C926EC">
        <w:rPr>
          <w:rFonts w:ascii="Arial" w:hAnsi="Arial" w:cs="Arial"/>
          <w:sz w:val="24"/>
          <w:szCs w:val="24"/>
          <w:lang w:val="en-US"/>
        </w:rPr>
        <w:fldChar w:fldCharType="separate"/>
      </w:r>
      <w:r w:rsidR="0091758E" w:rsidRPr="00C926EC">
        <w:rPr>
          <w:rFonts w:ascii="Arial" w:hAnsi="Arial" w:cs="Arial"/>
          <w:noProof/>
          <w:sz w:val="24"/>
          <w:szCs w:val="24"/>
          <w:lang w:val="en-US"/>
        </w:rPr>
        <w:t>(Baena-Moreno et al., 2020e)</w:t>
      </w:r>
      <w:r w:rsidR="0091758E" w:rsidRPr="00C926EC">
        <w:rPr>
          <w:rFonts w:ascii="Arial" w:hAnsi="Arial" w:cs="Arial"/>
          <w:sz w:val="24"/>
          <w:szCs w:val="24"/>
          <w:lang w:val="en-US"/>
        </w:rPr>
        <w:fldChar w:fldCharType="end"/>
      </w:r>
      <w:r w:rsidR="00B679C4" w:rsidRPr="00C926EC">
        <w:rPr>
          <w:rFonts w:ascii="Arial" w:hAnsi="Arial" w:cs="Arial"/>
          <w:bCs/>
          <w:iCs/>
          <w:sz w:val="24"/>
          <w:szCs w:val="24"/>
          <w:lang w:val="en-GB"/>
        </w:rPr>
        <w:t>. However</w:t>
      </w:r>
      <w:r w:rsidR="007E0DA1" w:rsidRPr="00C926EC">
        <w:rPr>
          <w:rFonts w:ascii="Arial" w:hAnsi="Arial" w:cs="Arial"/>
          <w:bCs/>
          <w:iCs/>
          <w:sz w:val="24"/>
          <w:szCs w:val="24"/>
          <w:lang w:val="en-GB"/>
        </w:rPr>
        <w:t>,</w:t>
      </w:r>
      <w:r w:rsidR="00B679C4" w:rsidRPr="00C926EC">
        <w:rPr>
          <w:rFonts w:ascii="Arial" w:hAnsi="Arial" w:cs="Arial"/>
          <w:bCs/>
          <w:iCs/>
          <w:sz w:val="24"/>
          <w:szCs w:val="24"/>
          <w:lang w:val="en-GB"/>
        </w:rPr>
        <w:t xml:space="preserve"> in this </w:t>
      </w:r>
      <w:proofErr w:type="gramStart"/>
      <w:r w:rsidR="00B679C4" w:rsidRPr="00C926EC">
        <w:rPr>
          <w:rFonts w:ascii="Arial" w:hAnsi="Arial" w:cs="Arial"/>
          <w:bCs/>
          <w:iCs/>
          <w:sz w:val="24"/>
          <w:szCs w:val="24"/>
          <w:lang w:val="en-GB"/>
        </w:rPr>
        <w:t>particular case</w:t>
      </w:r>
      <w:proofErr w:type="gramEnd"/>
      <w:r w:rsidR="007E0DA1" w:rsidRPr="00C926EC">
        <w:rPr>
          <w:rFonts w:ascii="Arial" w:hAnsi="Arial" w:cs="Arial"/>
          <w:bCs/>
          <w:iCs/>
          <w:sz w:val="24"/>
          <w:szCs w:val="24"/>
          <w:lang w:val="en-GB"/>
        </w:rPr>
        <w:t>,</w:t>
      </w:r>
      <w:r w:rsidR="00B679C4" w:rsidRPr="00C926EC">
        <w:rPr>
          <w:rFonts w:ascii="Arial" w:hAnsi="Arial" w:cs="Arial"/>
          <w:bCs/>
          <w:iCs/>
          <w:sz w:val="24"/>
          <w:szCs w:val="24"/>
          <w:lang w:val="en-GB"/>
        </w:rPr>
        <w:t xml:space="preserve"> expanding the p</w:t>
      </w:r>
      <w:r w:rsidR="007E0DA1" w:rsidRPr="00C926EC">
        <w:rPr>
          <w:rFonts w:ascii="Arial" w:hAnsi="Arial" w:cs="Arial"/>
          <w:bCs/>
          <w:iCs/>
          <w:sz w:val="24"/>
          <w:szCs w:val="24"/>
          <w:lang w:val="en-GB"/>
        </w:rPr>
        <w:t>l</w:t>
      </w:r>
      <w:r w:rsidR="00B679C4" w:rsidRPr="00C926EC">
        <w:rPr>
          <w:rFonts w:ascii="Arial" w:hAnsi="Arial" w:cs="Arial"/>
          <w:bCs/>
          <w:iCs/>
          <w:sz w:val="24"/>
          <w:szCs w:val="24"/>
          <w:lang w:val="en-GB"/>
        </w:rPr>
        <w:t>ant capacity</w:t>
      </w:r>
      <w:r w:rsidR="00937948" w:rsidRPr="00C926EC">
        <w:rPr>
          <w:rFonts w:ascii="Arial" w:hAnsi="Arial" w:cs="Arial"/>
          <w:bCs/>
          <w:iCs/>
          <w:sz w:val="24"/>
          <w:szCs w:val="24"/>
          <w:lang w:val="en-GB"/>
        </w:rPr>
        <w:t xml:space="preserve"> worsen </w:t>
      </w:r>
      <w:r w:rsidR="00B679C4" w:rsidRPr="00C926EC">
        <w:rPr>
          <w:rFonts w:ascii="Arial" w:hAnsi="Arial" w:cs="Arial"/>
          <w:bCs/>
          <w:iCs/>
          <w:sz w:val="24"/>
          <w:szCs w:val="24"/>
          <w:lang w:val="en-GB"/>
        </w:rPr>
        <w:t>the overall profitability prospects</w:t>
      </w:r>
      <w:r w:rsidR="00937948" w:rsidRPr="00C926EC">
        <w:rPr>
          <w:rFonts w:ascii="Arial" w:hAnsi="Arial" w:cs="Arial"/>
          <w:bCs/>
          <w:iCs/>
          <w:sz w:val="24"/>
          <w:szCs w:val="24"/>
          <w:lang w:val="en-GB"/>
        </w:rPr>
        <w:t xml:space="preserve">. This is because the difference </w:t>
      </w:r>
      <w:r w:rsidR="00B679C4" w:rsidRPr="00C926EC">
        <w:rPr>
          <w:rFonts w:ascii="Arial" w:hAnsi="Arial" w:cs="Arial"/>
          <w:bCs/>
          <w:iCs/>
          <w:sz w:val="24"/>
          <w:szCs w:val="24"/>
          <w:lang w:val="en-GB"/>
        </w:rPr>
        <w:t xml:space="preserve">among </w:t>
      </w:r>
      <w:r w:rsidR="00937948" w:rsidRPr="00C926EC">
        <w:rPr>
          <w:rFonts w:ascii="Arial" w:hAnsi="Arial" w:cs="Arial"/>
          <w:bCs/>
          <w:iCs/>
          <w:sz w:val="24"/>
          <w:szCs w:val="24"/>
          <w:lang w:val="en-GB"/>
        </w:rPr>
        <w:t>revenues and costs is negative during the entire life of the project</w:t>
      </w:r>
      <w:r w:rsidR="0069760D" w:rsidRPr="00C926EC">
        <w:rPr>
          <w:rFonts w:ascii="Arial" w:hAnsi="Arial" w:cs="Arial"/>
          <w:bCs/>
          <w:iCs/>
          <w:sz w:val="24"/>
          <w:szCs w:val="24"/>
          <w:lang w:val="en-GB"/>
        </w:rPr>
        <w:t xml:space="preserve"> </w:t>
      </w:r>
      <w:r w:rsidR="0069760D" w:rsidRPr="00C926EC">
        <w:rPr>
          <w:rFonts w:ascii="Arial" w:hAnsi="Arial" w:cs="Arial"/>
          <w:bCs/>
          <w:iCs/>
          <w:sz w:val="24"/>
          <w:szCs w:val="24"/>
          <w:lang w:val="en-GB"/>
        </w:rPr>
        <w:fldChar w:fldCharType="begin" w:fldLock="1"/>
      </w:r>
      <w:r w:rsidR="00F8432F" w:rsidRPr="00C926EC">
        <w:rPr>
          <w:rFonts w:ascii="Arial" w:hAnsi="Arial" w:cs="Arial"/>
          <w:bCs/>
          <w:iCs/>
          <w:sz w:val="24"/>
          <w:szCs w:val="24"/>
          <w:lang w:val="en-GB"/>
        </w:rPr>
        <w:instrText>ADDIN CSL_CITATION {"citationItems":[{"id":"ITEM-1","itemData":{"DOI":"10.1016/j.enconman.2020.113369","ISSN":"01968904","abstract":"This work presents a profitability analysis of a novel route to produce biomethane and synthetic natural gas through Power-to-Gas technology. Differently to traditional Power-to-Gas processes, the process configuration herein proposed allows to produce biomethane even if a source of hydrogen is not available. The novelties of this work are both the new process configuration and the comparison among results for several plant sizes (100, 250, 500, and 1000 m3/h) under two representative EU scenarios (Spain and Germany). The main finding of this work is that no profitable results can be obtained at the present natural gas prices, evidencing the need of incentives. Largest plant could reach profitability under reasonable subsidies (12–15 €/MWh). The forecasted cost reduction for H2 production and CO2 methanation are also analysed. The results show that subsidies are needed even in the most optimistic scenario. A corollary of this study is the current technological great challenge to develop low carbon routes which push forward the transition towards sustainable societies.","author":[{"dropping-particle":"","family":"Baena-Moreno","given":"Francisco M.","non-dropping-particle":"","parse-names":false,"suffix":""},{"dropping-particle":"","family":"Zhang","given":"Zhien","non-dropping-particle":"","parse-names":false,"suffix":""},{"dropping-particle":"","family":"Zhang","given":"X. P.","non-dropping-particle":"","parse-names":false,"suffix":""},{"dropping-particle":"","family":"Reina","given":"T. R.","non-dropping-particle":"","parse-names":false,"suffix":""}],"container-title":"Energy Conversion and Management","id":"ITEM-1","issued":{"date-parts":[["2020"]]},"title":"Profitability analysis of a novel configuration to synergize biogas upgrading and Power-to-Gas","type":"article-journal"},"uris":["http://www.mendeley.com/documents/?uuid=544e3838-8687-4dbc-a08d-3ff4c60e3f0b"]}],"mendeley":{"formattedCitation":"(Baena-Moreno et al., 2020f)","plainTextFormattedCitation":"(Baena-Moreno et al., 2020f)","previouslyFormattedCitation":"(Baena-Moreno et al., 2020f)"},"properties":{"noteIndex":0},"schema":"https://github.com/citation-style-language/schema/raw/master/csl-citation.json"}</w:instrText>
      </w:r>
      <w:r w:rsidR="0069760D" w:rsidRPr="00C926EC">
        <w:rPr>
          <w:rFonts w:ascii="Arial" w:hAnsi="Arial" w:cs="Arial"/>
          <w:bCs/>
          <w:iCs/>
          <w:sz w:val="24"/>
          <w:szCs w:val="24"/>
          <w:lang w:val="en-GB"/>
        </w:rPr>
        <w:fldChar w:fldCharType="separate"/>
      </w:r>
      <w:r w:rsidR="00F8432F" w:rsidRPr="00C926EC">
        <w:rPr>
          <w:rFonts w:ascii="Arial" w:hAnsi="Arial" w:cs="Arial"/>
          <w:bCs/>
          <w:iCs/>
          <w:noProof/>
          <w:sz w:val="24"/>
          <w:szCs w:val="24"/>
          <w:lang w:val="en-GB"/>
        </w:rPr>
        <w:t>(Baena-Moreno et al., 2020f)</w:t>
      </w:r>
      <w:r w:rsidR="0069760D" w:rsidRPr="00C926EC">
        <w:rPr>
          <w:rFonts w:ascii="Arial" w:hAnsi="Arial" w:cs="Arial"/>
          <w:bCs/>
          <w:iCs/>
          <w:sz w:val="24"/>
          <w:szCs w:val="24"/>
          <w:lang w:val="en-GB"/>
        </w:rPr>
        <w:fldChar w:fldCharType="end"/>
      </w:r>
      <w:r w:rsidR="00937948" w:rsidRPr="00C926EC">
        <w:rPr>
          <w:rFonts w:ascii="Arial" w:hAnsi="Arial" w:cs="Arial"/>
          <w:bCs/>
          <w:iCs/>
          <w:sz w:val="24"/>
          <w:szCs w:val="24"/>
          <w:lang w:val="en-GB"/>
        </w:rPr>
        <w:t xml:space="preserve">. </w:t>
      </w:r>
      <w:r w:rsidR="007E0C6D" w:rsidRPr="00C926EC">
        <w:rPr>
          <w:rFonts w:ascii="Arial" w:hAnsi="Arial" w:cs="Arial"/>
          <w:bCs/>
          <w:iCs/>
          <w:sz w:val="24"/>
          <w:szCs w:val="24"/>
          <w:lang w:val="en-GB"/>
        </w:rPr>
        <w:t>Figure 2.B</w:t>
      </w:r>
      <w:r w:rsidR="001B734E" w:rsidRPr="00C926EC">
        <w:rPr>
          <w:rFonts w:ascii="Arial" w:hAnsi="Arial" w:cs="Arial"/>
          <w:bCs/>
          <w:iCs/>
          <w:sz w:val="24"/>
          <w:szCs w:val="24"/>
          <w:lang w:val="en-GB"/>
        </w:rPr>
        <w:t xml:space="preserve"> showcases the PI results obtained. </w:t>
      </w:r>
      <w:r w:rsidR="00B679C4" w:rsidRPr="00C926EC">
        <w:rPr>
          <w:rFonts w:ascii="Arial" w:hAnsi="Arial" w:cs="Arial"/>
          <w:bCs/>
          <w:iCs/>
          <w:sz w:val="24"/>
          <w:szCs w:val="24"/>
          <w:lang w:val="en-GB"/>
        </w:rPr>
        <w:t>Negative</w:t>
      </w:r>
      <w:r w:rsidR="001B734E" w:rsidRPr="00C926EC">
        <w:rPr>
          <w:rFonts w:ascii="Arial" w:hAnsi="Arial" w:cs="Arial"/>
          <w:bCs/>
          <w:iCs/>
          <w:sz w:val="24"/>
          <w:szCs w:val="24"/>
          <w:lang w:val="en-GB"/>
        </w:rPr>
        <w:t xml:space="preserve"> </w:t>
      </w:r>
      <w:r w:rsidR="00937948" w:rsidRPr="00C926EC">
        <w:rPr>
          <w:rFonts w:ascii="Arial" w:hAnsi="Arial" w:cs="Arial"/>
          <w:bCs/>
          <w:iCs/>
          <w:sz w:val="24"/>
          <w:szCs w:val="24"/>
          <w:lang w:val="en-GB"/>
        </w:rPr>
        <w:t xml:space="preserve">PI </w:t>
      </w:r>
      <w:r w:rsidR="001B734E" w:rsidRPr="00C926EC">
        <w:rPr>
          <w:rFonts w:ascii="Arial" w:hAnsi="Arial" w:cs="Arial"/>
          <w:bCs/>
          <w:iCs/>
          <w:sz w:val="24"/>
          <w:szCs w:val="24"/>
          <w:lang w:val="en-GB"/>
        </w:rPr>
        <w:t>outputs</w:t>
      </w:r>
      <w:r w:rsidR="00B679C4" w:rsidRPr="00C926EC">
        <w:rPr>
          <w:rFonts w:ascii="Arial" w:hAnsi="Arial" w:cs="Arial"/>
          <w:bCs/>
          <w:iCs/>
          <w:sz w:val="24"/>
          <w:szCs w:val="24"/>
          <w:lang w:val="en-GB"/>
        </w:rPr>
        <w:t xml:space="preserve"> are </w:t>
      </w:r>
      <w:r w:rsidR="007B440B" w:rsidRPr="00C926EC">
        <w:rPr>
          <w:rFonts w:ascii="Arial" w:hAnsi="Arial" w:cs="Arial"/>
          <w:bCs/>
          <w:iCs/>
          <w:sz w:val="24"/>
          <w:szCs w:val="24"/>
          <w:lang w:val="en-GB"/>
        </w:rPr>
        <w:t>obtained</w:t>
      </w:r>
      <w:r w:rsidR="007E0DA1" w:rsidRPr="00C926EC">
        <w:rPr>
          <w:rFonts w:ascii="Arial" w:hAnsi="Arial" w:cs="Arial"/>
          <w:bCs/>
          <w:iCs/>
          <w:sz w:val="24"/>
          <w:szCs w:val="24"/>
          <w:lang w:val="en-GB"/>
        </w:rPr>
        <w:t xml:space="preserve"> </w:t>
      </w:r>
      <w:r w:rsidR="001B734E" w:rsidRPr="00C926EC">
        <w:rPr>
          <w:rFonts w:ascii="Arial" w:hAnsi="Arial" w:cs="Arial"/>
          <w:bCs/>
          <w:iCs/>
          <w:sz w:val="24"/>
          <w:szCs w:val="24"/>
          <w:lang w:val="en-GB"/>
        </w:rPr>
        <w:t xml:space="preserve">in fair agreement with the NPV values. </w:t>
      </w:r>
      <w:r w:rsidR="00A434B1" w:rsidRPr="00C926EC">
        <w:rPr>
          <w:rFonts w:ascii="Arial" w:hAnsi="Arial" w:cs="Arial"/>
          <w:bCs/>
          <w:iCs/>
          <w:sz w:val="24"/>
          <w:szCs w:val="24"/>
          <w:lang w:val="en-GB"/>
        </w:rPr>
        <w:t xml:space="preserve">DPBT were not included because the time to obtain a NPV equal to zero is higher than the lifetime considered (20 years). </w:t>
      </w:r>
      <w:r w:rsidR="00937948" w:rsidRPr="00C926EC">
        <w:rPr>
          <w:rFonts w:ascii="Arial" w:hAnsi="Arial" w:cs="Arial"/>
          <w:bCs/>
          <w:iCs/>
          <w:sz w:val="24"/>
          <w:szCs w:val="24"/>
          <w:lang w:val="en-GB"/>
        </w:rPr>
        <w:t>Anyhow, the process herein proposed is not profitable under the current market circumstances.</w:t>
      </w:r>
      <w:r w:rsidR="00933C95" w:rsidRPr="00C926EC">
        <w:rPr>
          <w:rFonts w:ascii="Arial" w:hAnsi="Arial" w:cs="Arial"/>
          <w:bCs/>
          <w:iCs/>
          <w:sz w:val="24"/>
          <w:szCs w:val="24"/>
          <w:lang w:val="en-GB"/>
        </w:rPr>
        <w:t xml:space="preserve"> </w:t>
      </w:r>
      <w:r w:rsidR="00C81737" w:rsidRPr="00C926EC">
        <w:rPr>
          <w:rFonts w:ascii="Arial" w:hAnsi="Arial" w:cs="Arial"/>
          <w:bCs/>
          <w:iCs/>
          <w:sz w:val="24"/>
          <w:szCs w:val="24"/>
          <w:lang w:val="en-GB"/>
        </w:rPr>
        <w:t xml:space="preserve">In view of </w:t>
      </w:r>
      <w:r w:rsidR="00933C95" w:rsidRPr="00C926EC">
        <w:rPr>
          <w:rFonts w:ascii="Arial" w:hAnsi="Arial" w:cs="Arial"/>
          <w:bCs/>
          <w:iCs/>
          <w:sz w:val="24"/>
          <w:szCs w:val="24"/>
          <w:lang w:val="en-GB"/>
        </w:rPr>
        <w:t xml:space="preserve">these results, two alternatives can be explored to achieve profitability: </w:t>
      </w:r>
      <w:r w:rsidR="004C5CCB" w:rsidRPr="00C926EC">
        <w:rPr>
          <w:rFonts w:ascii="Arial" w:hAnsi="Arial" w:cs="Arial"/>
          <w:bCs/>
          <w:iCs/>
          <w:sz w:val="24"/>
          <w:szCs w:val="24"/>
          <w:lang w:val="en-GB"/>
        </w:rPr>
        <w:t xml:space="preserve">(1) </w:t>
      </w:r>
      <w:r w:rsidR="00933C95" w:rsidRPr="00C926EC">
        <w:rPr>
          <w:rFonts w:ascii="Arial" w:hAnsi="Arial" w:cs="Arial"/>
          <w:bCs/>
          <w:iCs/>
          <w:sz w:val="24"/>
          <w:szCs w:val="24"/>
          <w:lang w:val="en-GB"/>
        </w:rPr>
        <w:t>increasing revenues (i.e.</w:t>
      </w:r>
      <w:r w:rsidR="004C5CCB" w:rsidRPr="00C926EC">
        <w:rPr>
          <w:rFonts w:ascii="Arial" w:hAnsi="Arial" w:cs="Arial"/>
          <w:bCs/>
          <w:iCs/>
          <w:sz w:val="24"/>
          <w:szCs w:val="24"/>
          <w:lang w:val="en-GB"/>
        </w:rPr>
        <w:t>,</w:t>
      </w:r>
      <w:r w:rsidR="00933C95" w:rsidRPr="00C926EC">
        <w:rPr>
          <w:rFonts w:ascii="Arial" w:hAnsi="Arial" w:cs="Arial"/>
          <w:bCs/>
          <w:iCs/>
          <w:sz w:val="24"/>
          <w:szCs w:val="24"/>
          <w:lang w:val="en-GB"/>
        </w:rPr>
        <w:t xml:space="preserve"> through </w:t>
      </w:r>
      <w:r w:rsidR="00505FB4" w:rsidRPr="00C926EC">
        <w:rPr>
          <w:rFonts w:ascii="Arial" w:hAnsi="Arial" w:cs="Arial"/>
          <w:bCs/>
          <w:iCs/>
          <w:sz w:val="24"/>
          <w:szCs w:val="24"/>
          <w:lang w:val="en-GB"/>
        </w:rPr>
        <w:t>policies</w:t>
      </w:r>
      <w:r w:rsidR="00933C95" w:rsidRPr="00C926EC">
        <w:rPr>
          <w:rFonts w:ascii="Arial" w:hAnsi="Arial" w:cs="Arial"/>
          <w:bCs/>
          <w:iCs/>
          <w:sz w:val="24"/>
          <w:szCs w:val="24"/>
          <w:lang w:val="en-GB"/>
        </w:rPr>
        <w:t xml:space="preserve"> to boost renewable energy production), or </w:t>
      </w:r>
      <w:r w:rsidR="004C5CCB" w:rsidRPr="00C926EC">
        <w:rPr>
          <w:rFonts w:ascii="Arial" w:hAnsi="Arial" w:cs="Arial"/>
          <w:bCs/>
          <w:iCs/>
          <w:sz w:val="24"/>
          <w:szCs w:val="24"/>
          <w:lang w:val="en-GB"/>
        </w:rPr>
        <w:t xml:space="preserve">(2) </w:t>
      </w:r>
      <w:r w:rsidR="00933C95" w:rsidRPr="00C926EC">
        <w:rPr>
          <w:rFonts w:ascii="Arial" w:hAnsi="Arial" w:cs="Arial"/>
          <w:bCs/>
          <w:iCs/>
          <w:sz w:val="24"/>
          <w:szCs w:val="24"/>
          <w:lang w:val="en-GB"/>
        </w:rPr>
        <w:t>reducing costs (i.e.</w:t>
      </w:r>
      <w:r w:rsidR="004C5CCB" w:rsidRPr="00C926EC">
        <w:rPr>
          <w:rFonts w:ascii="Arial" w:hAnsi="Arial" w:cs="Arial"/>
          <w:bCs/>
          <w:iCs/>
          <w:sz w:val="24"/>
          <w:szCs w:val="24"/>
          <w:lang w:val="en-GB"/>
        </w:rPr>
        <w:t>,</w:t>
      </w:r>
      <w:r w:rsidR="00933C95" w:rsidRPr="00C926EC">
        <w:rPr>
          <w:rFonts w:ascii="Arial" w:hAnsi="Arial" w:cs="Arial"/>
          <w:bCs/>
          <w:iCs/>
          <w:sz w:val="24"/>
          <w:szCs w:val="24"/>
          <w:lang w:val="en-GB"/>
        </w:rPr>
        <w:t xml:space="preserve"> reducing electricity consumption or investment).</w:t>
      </w:r>
    </w:p>
    <w:p w14:paraId="4FA48B6B" w14:textId="3759D4D3" w:rsidR="00BE1BD3" w:rsidRPr="00C926EC" w:rsidRDefault="00BE1BD3" w:rsidP="008C671D">
      <w:pPr>
        <w:spacing w:line="480" w:lineRule="auto"/>
        <w:jc w:val="center"/>
        <w:rPr>
          <w:rFonts w:ascii="Arial" w:hAnsi="Arial" w:cs="Arial"/>
          <w:bCs/>
          <w:iCs/>
          <w:sz w:val="24"/>
          <w:szCs w:val="24"/>
          <w:lang w:val="en-GB"/>
        </w:rPr>
      </w:pPr>
    </w:p>
    <w:p w14:paraId="6E23ED21" w14:textId="5E98058B" w:rsidR="00933C95" w:rsidRPr="00C926EC" w:rsidRDefault="00933C95" w:rsidP="00933C95">
      <w:pPr>
        <w:spacing w:line="480" w:lineRule="auto"/>
        <w:jc w:val="center"/>
        <w:rPr>
          <w:rFonts w:ascii="Arial" w:hAnsi="Arial" w:cs="Arial"/>
          <w:sz w:val="24"/>
          <w:szCs w:val="24"/>
          <w:lang w:val="en-GB"/>
        </w:rPr>
      </w:pPr>
      <w:r w:rsidRPr="00C926EC">
        <w:rPr>
          <w:rFonts w:ascii="Arial" w:hAnsi="Arial" w:cs="Arial"/>
          <w:sz w:val="24"/>
          <w:szCs w:val="24"/>
          <w:lang w:val="en-GB"/>
        </w:rPr>
        <w:t>Figure 2. NPV</w:t>
      </w:r>
      <w:r w:rsidR="007E0C6D" w:rsidRPr="00C926EC">
        <w:rPr>
          <w:rFonts w:ascii="Arial" w:hAnsi="Arial" w:cs="Arial"/>
          <w:sz w:val="24"/>
          <w:szCs w:val="24"/>
          <w:lang w:val="en-GB"/>
        </w:rPr>
        <w:t xml:space="preserve"> (A) and PI</w:t>
      </w:r>
      <w:r w:rsidRPr="00C926EC">
        <w:rPr>
          <w:rFonts w:ascii="Arial" w:hAnsi="Arial" w:cs="Arial"/>
          <w:sz w:val="24"/>
          <w:szCs w:val="24"/>
          <w:lang w:val="en-GB"/>
        </w:rPr>
        <w:t xml:space="preserve"> </w:t>
      </w:r>
      <w:r w:rsidR="007E0C6D" w:rsidRPr="00C926EC">
        <w:rPr>
          <w:rFonts w:ascii="Arial" w:hAnsi="Arial" w:cs="Arial"/>
          <w:sz w:val="24"/>
          <w:szCs w:val="24"/>
          <w:lang w:val="en-GB"/>
        </w:rPr>
        <w:t xml:space="preserve">(B) </w:t>
      </w:r>
      <w:r w:rsidRPr="00C926EC">
        <w:rPr>
          <w:rFonts w:ascii="Arial" w:hAnsi="Arial" w:cs="Arial"/>
          <w:sz w:val="24"/>
          <w:szCs w:val="24"/>
          <w:lang w:val="en-GB"/>
        </w:rPr>
        <w:t>baseline results.</w:t>
      </w:r>
      <w:r w:rsidR="0086732D" w:rsidRPr="00C926EC">
        <w:rPr>
          <w:rFonts w:ascii="Arial" w:hAnsi="Arial" w:cs="Arial"/>
          <w:sz w:val="24"/>
          <w:szCs w:val="24"/>
          <w:lang w:val="en-GB"/>
        </w:rPr>
        <w:t xml:space="preserve"> Scenarios 1-12.</w:t>
      </w:r>
    </w:p>
    <w:p w14:paraId="7B9840FF" w14:textId="55399099" w:rsidR="00933C95" w:rsidRPr="00C926EC" w:rsidRDefault="00B75D37" w:rsidP="00B75D37">
      <w:pPr>
        <w:spacing w:line="480" w:lineRule="auto"/>
        <w:jc w:val="both"/>
        <w:rPr>
          <w:rFonts w:ascii="Arial" w:hAnsi="Arial" w:cs="Arial"/>
          <w:bCs/>
          <w:iCs/>
          <w:sz w:val="24"/>
          <w:szCs w:val="24"/>
          <w:lang w:val="en-GB"/>
        </w:rPr>
      </w:pPr>
      <w:r w:rsidRPr="00C926EC">
        <w:rPr>
          <w:rFonts w:ascii="Arial" w:hAnsi="Arial" w:cs="Arial"/>
          <w:bCs/>
          <w:iCs/>
          <w:sz w:val="24"/>
          <w:szCs w:val="24"/>
          <w:lang w:val="en-GB"/>
        </w:rPr>
        <w:t>Subsidies as feed-in tariffs</w:t>
      </w:r>
      <w:r w:rsidR="00937948" w:rsidRPr="00C926EC">
        <w:rPr>
          <w:rFonts w:ascii="Arial" w:hAnsi="Arial" w:cs="Arial"/>
          <w:bCs/>
          <w:iCs/>
          <w:sz w:val="24"/>
          <w:szCs w:val="24"/>
          <w:lang w:val="en-GB"/>
        </w:rPr>
        <w:t xml:space="preserve"> may be a useful </w:t>
      </w:r>
      <w:r w:rsidR="00933C95" w:rsidRPr="00C926EC">
        <w:rPr>
          <w:rFonts w:ascii="Arial" w:hAnsi="Arial" w:cs="Arial"/>
          <w:bCs/>
          <w:iCs/>
          <w:sz w:val="24"/>
          <w:szCs w:val="24"/>
          <w:lang w:val="en-GB"/>
        </w:rPr>
        <w:t xml:space="preserve">measure </w:t>
      </w:r>
      <w:r w:rsidR="00937948" w:rsidRPr="00C926EC">
        <w:rPr>
          <w:rFonts w:ascii="Arial" w:hAnsi="Arial" w:cs="Arial"/>
          <w:bCs/>
          <w:iCs/>
          <w:sz w:val="24"/>
          <w:szCs w:val="24"/>
          <w:lang w:val="en-GB"/>
        </w:rPr>
        <w:t xml:space="preserve">for improving the </w:t>
      </w:r>
      <w:r w:rsidR="00B93730" w:rsidRPr="00C926EC">
        <w:rPr>
          <w:rFonts w:ascii="Arial" w:hAnsi="Arial" w:cs="Arial"/>
          <w:bCs/>
          <w:iCs/>
          <w:sz w:val="24"/>
          <w:szCs w:val="24"/>
          <w:lang w:val="en-GB"/>
        </w:rPr>
        <w:t xml:space="preserve">profitability </w:t>
      </w:r>
      <w:r w:rsidR="00937948" w:rsidRPr="00C926EC">
        <w:rPr>
          <w:rFonts w:ascii="Arial" w:hAnsi="Arial" w:cs="Arial"/>
          <w:bCs/>
          <w:iCs/>
          <w:sz w:val="24"/>
          <w:szCs w:val="24"/>
          <w:lang w:val="en-GB"/>
        </w:rPr>
        <w:t>of renewable</w:t>
      </w:r>
      <w:r w:rsidR="00B679C4" w:rsidRPr="00C926EC">
        <w:rPr>
          <w:rFonts w:ascii="Arial" w:hAnsi="Arial" w:cs="Arial"/>
          <w:bCs/>
          <w:iCs/>
          <w:sz w:val="24"/>
          <w:szCs w:val="24"/>
          <w:lang w:val="en-GB"/>
        </w:rPr>
        <w:t xml:space="preserve"> energy</w:t>
      </w:r>
      <w:r w:rsidR="00937948" w:rsidRPr="00C926EC">
        <w:rPr>
          <w:rFonts w:ascii="Arial" w:hAnsi="Arial" w:cs="Arial"/>
          <w:bCs/>
          <w:iCs/>
          <w:sz w:val="24"/>
          <w:szCs w:val="24"/>
          <w:lang w:val="en-GB"/>
        </w:rPr>
        <w:t xml:space="preserve"> projects. </w:t>
      </w:r>
      <w:r w:rsidR="00A54164" w:rsidRPr="00C926EC">
        <w:rPr>
          <w:rFonts w:ascii="Arial" w:hAnsi="Arial" w:cs="Arial"/>
          <w:bCs/>
          <w:iCs/>
          <w:sz w:val="24"/>
          <w:szCs w:val="24"/>
          <w:lang w:val="en-GB"/>
        </w:rPr>
        <w:t>T</w:t>
      </w:r>
      <w:r w:rsidR="00933C95" w:rsidRPr="00C926EC">
        <w:rPr>
          <w:rFonts w:ascii="Arial" w:hAnsi="Arial" w:cs="Arial"/>
          <w:bCs/>
          <w:iCs/>
          <w:sz w:val="24"/>
          <w:szCs w:val="24"/>
          <w:lang w:val="en-GB"/>
        </w:rPr>
        <w:t xml:space="preserve">his </w:t>
      </w:r>
      <w:r w:rsidR="00505FB4" w:rsidRPr="00C926EC">
        <w:rPr>
          <w:rFonts w:ascii="Arial" w:hAnsi="Arial" w:cs="Arial"/>
          <w:bCs/>
          <w:iCs/>
          <w:sz w:val="24"/>
          <w:szCs w:val="24"/>
          <w:lang w:val="en-GB"/>
        </w:rPr>
        <w:t>policy</w:t>
      </w:r>
      <w:r w:rsidR="00933C95" w:rsidRPr="00C926EC">
        <w:rPr>
          <w:rFonts w:ascii="Arial" w:hAnsi="Arial" w:cs="Arial"/>
          <w:bCs/>
          <w:iCs/>
          <w:sz w:val="24"/>
          <w:szCs w:val="24"/>
          <w:lang w:val="en-GB"/>
        </w:rPr>
        <w:t xml:space="preserve"> </w:t>
      </w:r>
      <w:r w:rsidR="00505FB4" w:rsidRPr="00C926EC">
        <w:rPr>
          <w:rFonts w:ascii="Arial" w:hAnsi="Arial" w:cs="Arial"/>
          <w:bCs/>
          <w:iCs/>
          <w:sz w:val="24"/>
          <w:szCs w:val="24"/>
          <w:lang w:val="en-GB"/>
        </w:rPr>
        <w:t xml:space="preserve">has </w:t>
      </w:r>
      <w:r w:rsidR="00B679C4" w:rsidRPr="00C926EC">
        <w:rPr>
          <w:rFonts w:ascii="Arial" w:hAnsi="Arial" w:cs="Arial"/>
          <w:bCs/>
          <w:iCs/>
          <w:sz w:val="24"/>
          <w:szCs w:val="24"/>
          <w:lang w:val="en-GB"/>
        </w:rPr>
        <w:t xml:space="preserve">already </w:t>
      </w:r>
      <w:r w:rsidR="00505FB4" w:rsidRPr="00C926EC">
        <w:rPr>
          <w:rFonts w:ascii="Arial" w:hAnsi="Arial" w:cs="Arial"/>
          <w:bCs/>
          <w:iCs/>
          <w:sz w:val="24"/>
          <w:szCs w:val="24"/>
          <w:lang w:val="en-GB"/>
        </w:rPr>
        <w:t>been</w:t>
      </w:r>
      <w:r w:rsidR="00933C95" w:rsidRPr="00C926EC">
        <w:rPr>
          <w:rFonts w:ascii="Arial" w:hAnsi="Arial" w:cs="Arial"/>
          <w:bCs/>
          <w:iCs/>
          <w:sz w:val="24"/>
          <w:szCs w:val="24"/>
          <w:lang w:val="en-GB"/>
        </w:rPr>
        <w:t xml:space="preserve"> applied on biomethane production in countries such as Slovakia, Austria </w:t>
      </w:r>
      <w:r w:rsidR="00505FB4" w:rsidRPr="00C926EC">
        <w:rPr>
          <w:rFonts w:ascii="Arial" w:hAnsi="Arial" w:cs="Arial"/>
          <w:bCs/>
          <w:iCs/>
          <w:sz w:val="24"/>
          <w:szCs w:val="24"/>
          <w:lang w:val="en-GB"/>
        </w:rPr>
        <w:t>and</w:t>
      </w:r>
      <w:r w:rsidR="00933C95" w:rsidRPr="00C926EC">
        <w:rPr>
          <w:rFonts w:ascii="Arial" w:hAnsi="Arial" w:cs="Arial"/>
          <w:bCs/>
          <w:iCs/>
          <w:sz w:val="24"/>
          <w:szCs w:val="24"/>
          <w:lang w:val="en-GB"/>
        </w:rPr>
        <w:t xml:space="preserve"> Italy</w:t>
      </w:r>
      <w:r w:rsidR="0069760D" w:rsidRPr="00C926EC">
        <w:rPr>
          <w:rFonts w:ascii="Arial" w:hAnsi="Arial" w:cs="Arial"/>
          <w:bCs/>
          <w:iCs/>
          <w:sz w:val="24"/>
          <w:szCs w:val="24"/>
          <w:lang w:val="en-GB"/>
        </w:rPr>
        <w:t xml:space="preserve"> </w:t>
      </w:r>
      <w:r w:rsidR="0069760D" w:rsidRPr="00C926EC">
        <w:rPr>
          <w:rFonts w:ascii="Arial" w:hAnsi="Arial" w:cs="Arial"/>
          <w:bCs/>
          <w:iCs/>
          <w:sz w:val="24"/>
          <w:szCs w:val="24"/>
          <w:lang w:val="en-GB"/>
        </w:rPr>
        <w:fldChar w:fldCharType="begin" w:fldLock="1"/>
      </w:r>
      <w:r w:rsidR="00F8432F" w:rsidRPr="00C926EC">
        <w:rPr>
          <w:rFonts w:ascii="Arial" w:hAnsi="Arial" w:cs="Arial"/>
          <w:bCs/>
          <w:iCs/>
          <w:sz w:val="24"/>
          <w:szCs w:val="24"/>
          <w:lang w:val="en-GB"/>
        </w:rPr>
        <w:instrText>ADDIN CSL_CITATION {"citationItems":[{"id":"ITEM-1","itemData":{"DOI":"10.1016/j.rser.2017.01.132","ISSN":"18790690","abstract":"The EU has assumed objectives for energy sustainability and the fight against climate change. In this regard, the generation of biogas allows contributions to the 2020 established targets. The EU is leader in the production of biogas, representing 60% of total global production in 2011. The estimates of the contribution of biogas to electricity generation for 2020 in the EU-28 represent 1.5% within the total energy mix. This paper analyzes the measures implemented in the EU-28 to promote biogas, relating them to the country targets established in their National Renewable Energy Action Plans. Currently, 19 countries apply some measure of price and/or amount: 14 use Feed-in Tariffs, 6 Premium Tariffs and 1 uses tenders. A trend has been observed to reduce public financial support to promote biogas, linked to the reduction of the cost of this technology, and to the attempt to increasingly link it to the markets. However, excessive linking to the market hinders its development, putting the attainment of 2020 targets at risk. Consequently, the Feed-in Tariff or Premium Tariff systems, used in each country, must be designed in agreement with the peculiarities of the development of their markets, to be able to guarantee suitable development.","author":[{"dropping-particle":"","family":"Pablo-Romero","given":"María del P.","non-dropping-particle":"","parse-names":false,"suffix":""},{"dropping-particle":"","family":"Sánchez-Braza","given":"Antonio","non-dropping-particle":"","parse-names":false,"suffix":""},{"dropping-particle":"","family":"Salvador-Ponce","given":"Jesús","non-dropping-particle":"","parse-names":false,"suffix":""},{"dropping-particle":"","family":"Sánchez-Labrador","given":"Natalia","non-dropping-particle":"","parse-names":false,"suffix":""}],"container-title":"Renewable and Sustainable Energy Reviews","id":"ITEM-1","issued":{"date-parts":[["2017"]]},"title":"An overview of feed-in tariffs, premiums and tenders to promote electricity from biogas in the EU-28","type":"article"},"uris":["http://www.mendeley.com/documents/?uuid=62b9492e-3220-43e9-8421-842443898a53"]}],"mendeley":{"formattedCitation":"(Pablo-Romero et al., 2017)","plainTextFormattedCitation":"(Pablo-Romero et al., 2017)","previouslyFormattedCitation":"(Pablo-Romero et al., 2017)"},"properties":{"noteIndex":0},"schema":"https://github.com/citation-style-language/schema/raw/master/csl-citation.json"}</w:instrText>
      </w:r>
      <w:r w:rsidR="0069760D" w:rsidRPr="00C926EC">
        <w:rPr>
          <w:rFonts w:ascii="Arial" w:hAnsi="Arial" w:cs="Arial"/>
          <w:bCs/>
          <w:iCs/>
          <w:sz w:val="24"/>
          <w:szCs w:val="24"/>
          <w:lang w:val="en-GB"/>
        </w:rPr>
        <w:fldChar w:fldCharType="separate"/>
      </w:r>
      <w:r w:rsidR="00F8432F" w:rsidRPr="00C926EC">
        <w:rPr>
          <w:rFonts w:ascii="Arial" w:hAnsi="Arial" w:cs="Arial"/>
          <w:bCs/>
          <w:iCs/>
          <w:noProof/>
          <w:sz w:val="24"/>
          <w:szCs w:val="24"/>
          <w:lang w:val="en-GB"/>
        </w:rPr>
        <w:t>(Pablo-Romero et al., 2017)</w:t>
      </w:r>
      <w:r w:rsidR="0069760D" w:rsidRPr="00C926EC">
        <w:rPr>
          <w:rFonts w:ascii="Arial" w:hAnsi="Arial" w:cs="Arial"/>
          <w:bCs/>
          <w:iCs/>
          <w:sz w:val="24"/>
          <w:szCs w:val="24"/>
          <w:lang w:val="en-GB"/>
        </w:rPr>
        <w:fldChar w:fldCharType="end"/>
      </w:r>
      <w:r w:rsidR="00933C95" w:rsidRPr="00C926EC">
        <w:rPr>
          <w:rFonts w:ascii="Arial" w:hAnsi="Arial" w:cs="Arial"/>
          <w:bCs/>
          <w:iCs/>
          <w:sz w:val="24"/>
          <w:szCs w:val="24"/>
          <w:lang w:val="en-GB"/>
        </w:rPr>
        <w:t>.</w:t>
      </w:r>
      <w:r w:rsidR="00A54164" w:rsidRPr="00C926EC">
        <w:rPr>
          <w:rFonts w:ascii="Arial" w:hAnsi="Arial" w:cs="Arial"/>
          <w:bCs/>
          <w:iCs/>
          <w:sz w:val="24"/>
          <w:szCs w:val="24"/>
          <w:lang w:val="en-GB"/>
        </w:rPr>
        <w:t xml:space="preserve"> </w:t>
      </w:r>
      <w:r w:rsidR="00505FB4" w:rsidRPr="00C926EC">
        <w:rPr>
          <w:rFonts w:ascii="Arial" w:hAnsi="Arial" w:cs="Arial"/>
          <w:bCs/>
          <w:iCs/>
          <w:sz w:val="24"/>
          <w:szCs w:val="24"/>
          <w:lang w:val="en-GB"/>
        </w:rPr>
        <w:t xml:space="preserve">The </w:t>
      </w:r>
      <w:r w:rsidR="00A54164" w:rsidRPr="00C926EC">
        <w:rPr>
          <w:rFonts w:ascii="Arial" w:hAnsi="Arial" w:cs="Arial"/>
          <w:bCs/>
          <w:iCs/>
          <w:sz w:val="24"/>
          <w:szCs w:val="24"/>
          <w:lang w:val="en-GB"/>
        </w:rPr>
        <w:t xml:space="preserve">United Kingdom </w:t>
      </w:r>
      <w:r w:rsidR="00505FB4" w:rsidRPr="00C926EC">
        <w:rPr>
          <w:rFonts w:ascii="Arial" w:hAnsi="Arial" w:cs="Arial"/>
          <w:bCs/>
          <w:iCs/>
          <w:sz w:val="24"/>
          <w:szCs w:val="24"/>
          <w:lang w:val="en-GB"/>
        </w:rPr>
        <w:t>support</w:t>
      </w:r>
      <w:r w:rsidR="00B679C4" w:rsidRPr="00C926EC">
        <w:rPr>
          <w:rFonts w:ascii="Arial" w:hAnsi="Arial" w:cs="Arial"/>
          <w:bCs/>
          <w:iCs/>
          <w:sz w:val="24"/>
          <w:szCs w:val="24"/>
          <w:lang w:val="en-GB"/>
        </w:rPr>
        <w:t>ed</w:t>
      </w:r>
      <w:r w:rsidR="00A54164" w:rsidRPr="00C926EC">
        <w:rPr>
          <w:rFonts w:ascii="Arial" w:hAnsi="Arial" w:cs="Arial"/>
          <w:bCs/>
          <w:iCs/>
          <w:sz w:val="24"/>
          <w:szCs w:val="24"/>
          <w:lang w:val="en-GB"/>
        </w:rPr>
        <w:t xml:space="preserve"> biomethane production through incentives between 2011 and 2018. Indeed, 6.661 GWh of biomethane production were supported to </w:t>
      </w:r>
      <w:proofErr w:type="spellStart"/>
      <w:r w:rsidR="00A54164" w:rsidRPr="00C926EC">
        <w:rPr>
          <w:rFonts w:ascii="Arial" w:hAnsi="Arial" w:cs="Arial"/>
          <w:bCs/>
          <w:iCs/>
          <w:sz w:val="24"/>
          <w:szCs w:val="24"/>
          <w:lang w:val="en-GB"/>
        </w:rPr>
        <w:t>fulfil</w:t>
      </w:r>
      <w:r w:rsidR="004C5CCB" w:rsidRPr="00C926EC">
        <w:rPr>
          <w:rFonts w:ascii="Arial" w:hAnsi="Arial" w:cs="Arial"/>
          <w:bCs/>
          <w:iCs/>
          <w:sz w:val="24"/>
          <w:szCs w:val="24"/>
          <w:lang w:val="en-GB"/>
        </w:rPr>
        <w:t>l</w:t>
      </w:r>
      <w:proofErr w:type="spellEnd"/>
      <w:r w:rsidR="00A54164" w:rsidRPr="00C926EC">
        <w:rPr>
          <w:rFonts w:ascii="Arial" w:hAnsi="Arial" w:cs="Arial"/>
          <w:bCs/>
          <w:iCs/>
          <w:sz w:val="24"/>
          <w:szCs w:val="24"/>
          <w:lang w:val="en-GB"/>
        </w:rPr>
        <w:t xml:space="preserve"> a quota system called the Renewable </w:t>
      </w:r>
      <w:r w:rsidR="00A54164" w:rsidRPr="00C926EC">
        <w:rPr>
          <w:rFonts w:ascii="Arial" w:hAnsi="Arial" w:cs="Arial"/>
          <w:bCs/>
          <w:iCs/>
          <w:sz w:val="24"/>
          <w:szCs w:val="24"/>
          <w:lang w:val="en-GB"/>
        </w:rPr>
        <w:lastRenderedPageBreak/>
        <w:t xml:space="preserve">Transport Fuel Obligation (RTFO). Nonetheless, installations </w:t>
      </w:r>
      <w:r w:rsidR="00B679C4" w:rsidRPr="00C926EC">
        <w:rPr>
          <w:rFonts w:ascii="Arial" w:hAnsi="Arial" w:cs="Arial"/>
          <w:bCs/>
          <w:iCs/>
          <w:sz w:val="24"/>
          <w:szCs w:val="24"/>
          <w:lang w:val="en-GB"/>
        </w:rPr>
        <w:t xml:space="preserve">commissioned as off </w:t>
      </w:r>
      <w:r w:rsidR="00A54164" w:rsidRPr="00C926EC">
        <w:rPr>
          <w:rFonts w:ascii="Arial" w:hAnsi="Arial" w:cs="Arial"/>
          <w:bCs/>
          <w:iCs/>
          <w:sz w:val="24"/>
          <w:szCs w:val="24"/>
          <w:lang w:val="en-GB"/>
        </w:rPr>
        <w:t xml:space="preserve">2018 cannot claim the feed-in-tariff. This has </w:t>
      </w:r>
      <w:r w:rsidR="00224129" w:rsidRPr="00C926EC">
        <w:rPr>
          <w:rFonts w:ascii="Arial" w:hAnsi="Arial" w:cs="Arial"/>
          <w:bCs/>
          <w:iCs/>
          <w:sz w:val="24"/>
          <w:szCs w:val="24"/>
          <w:lang w:val="en-GB"/>
        </w:rPr>
        <w:t xml:space="preserve">caused </w:t>
      </w:r>
      <w:r w:rsidR="00A54164" w:rsidRPr="00C926EC">
        <w:rPr>
          <w:rFonts w:ascii="Arial" w:hAnsi="Arial" w:cs="Arial"/>
          <w:bCs/>
          <w:iCs/>
          <w:sz w:val="24"/>
          <w:szCs w:val="24"/>
          <w:lang w:val="en-GB"/>
        </w:rPr>
        <w:t xml:space="preserve">a </w:t>
      </w:r>
      <w:r w:rsidR="00224129" w:rsidRPr="00C926EC">
        <w:rPr>
          <w:rFonts w:ascii="Arial" w:hAnsi="Arial" w:cs="Arial"/>
          <w:bCs/>
          <w:iCs/>
          <w:sz w:val="24"/>
          <w:szCs w:val="24"/>
          <w:lang w:val="en-GB"/>
        </w:rPr>
        <w:t>reduction</w:t>
      </w:r>
      <w:r w:rsidR="00A54164" w:rsidRPr="00C926EC">
        <w:rPr>
          <w:rFonts w:ascii="Arial" w:hAnsi="Arial" w:cs="Arial"/>
          <w:bCs/>
          <w:iCs/>
          <w:sz w:val="24"/>
          <w:szCs w:val="24"/>
          <w:lang w:val="en-GB"/>
        </w:rPr>
        <w:t xml:space="preserve"> in </w:t>
      </w:r>
      <w:r w:rsidR="00224129" w:rsidRPr="00C926EC">
        <w:rPr>
          <w:rFonts w:ascii="Arial" w:hAnsi="Arial" w:cs="Arial"/>
          <w:bCs/>
          <w:iCs/>
          <w:sz w:val="24"/>
          <w:szCs w:val="24"/>
          <w:lang w:val="en-GB"/>
        </w:rPr>
        <w:t xml:space="preserve">the </w:t>
      </w:r>
      <w:r w:rsidR="00A54164" w:rsidRPr="00C926EC">
        <w:rPr>
          <w:rFonts w:ascii="Arial" w:hAnsi="Arial" w:cs="Arial"/>
          <w:bCs/>
          <w:iCs/>
          <w:sz w:val="24"/>
          <w:szCs w:val="24"/>
          <w:lang w:val="en-GB"/>
        </w:rPr>
        <w:t>production of biomethane</w:t>
      </w:r>
      <w:r w:rsidR="001A7284" w:rsidRPr="00C926EC">
        <w:rPr>
          <w:rFonts w:ascii="Arial" w:hAnsi="Arial" w:cs="Arial"/>
          <w:bCs/>
          <w:iCs/>
          <w:sz w:val="24"/>
          <w:szCs w:val="24"/>
          <w:lang w:val="en-GB"/>
        </w:rPr>
        <w:t xml:space="preserve"> </w:t>
      </w:r>
      <w:r w:rsidR="001A7284" w:rsidRPr="00C926EC">
        <w:rPr>
          <w:rFonts w:ascii="Arial" w:hAnsi="Arial" w:cs="Arial"/>
          <w:bCs/>
          <w:iCs/>
          <w:sz w:val="24"/>
          <w:szCs w:val="24"/>
          <w:lang w:val="en-GB"/>
        </w:rPr>
        <w:fldChar w:fldCharType="begin" w:fldLock="1"/>
      </w:r>
      <w:r w:rsidR="00F8432F" w:rsidRPr="00C926EC">
        <w:rPr>
          <w:rFonts w:ascii="Arial" w:hAnsi="Arial" w:cs="Arial"/>
          <w:bCs/>
          <w:iCs/>
          <w:sz w:val="24"/>
          <w:szCs w:val="24"/>
          <w:lang w:val="en-GB"/>
        </w:rPr>
        <w:instrText>ADDIN CSL_CITATION {"citationItems":[{"id":"ITEM-1","itemData":{"author":[{"dropping-particle":"","family":"REGATRACE","given":"","non-dropping-particle":"","parse-names":false,"suffix":""}],"id":"ITEM-1","issued":{"date-parts":[["2020"]]},"title":"Mapping the state of play of renewable gases in Europe","type":"report"},"uris":["http://www.mendeley.com/documents/?uuid=89bb1d4c-ea8c-44de-959f-86e8b41366c2","http://www.mendeley.com/documents/?uuid=95eeeca4-1d9d-43e4-93b3-5f60c67a3439"]}],"mendeley":{"formattedCitation":"(REGATRACE, 2020)","plainTextFormattedCitation":"(REGATRACE, 2020)","previouslyFormattedCitation":"(REGATRACE, 2020)"},"properties":{"noteIndex":0},"schema":"https://github.com/citation-style-language/schema/raw/master/csl-citation.json"}</w:instrText>
      </w:r>
      <w:r w:rsidR="001A7284" w:rsidRPr="00C926EC">
        <w:rPr>
          <w:rFonts w:ascii="Arial" w:hAnsi="Arial" w:cs="Arial"/>
          <w:bCs/>
          <w:iCs/>
          <w:sz w:val="24"/>
          <w:szCs w:val="24"/>
          <w:lang w:val="en-GB"/>
        </w:rPr>
        <w:fldChar w:fldCharType="separate"/>
      </w:r>
      <w:r w:rsidR="00F8432F" w:rsidRPr="00C926EC">
        <w:rPr>
          <w:rFonts w:ascii="Arial" w:hAnsi="Arial" w:cs="Arial"/>
          <w:bCs/>
          <w:iCs/>
          <w:noProof/>
          <w:sz w:val="24"/>
          <w:szCs w:val="24"/>
          <w:lang w:val="en-GB"/>
        </w:rPr>
        <w:t>(REGATRACE, 2020)</w:t>
      </w:r>
      <w:r w:rsidR="001A7284" w:rsidRPr="00C926EC">
        <w:rPr>
          <w:rFonts w:ascii="Arial" w:hAnsi="Arial" w:cs="Arial"/>
          <w:bCs/>
          <w:iCs/>
          <w:sz w:val="24"/>
          <w:szCs w:val="24"/>
          <w:lang w:val="en-GB"/>
        </w:rPr>
        <w:fldChar w:fldCharType="end"/>
      </w:r>
      <w:r w:rsidR="00A54164" w:rsidRPr="00C926EC">
        <w:rPr>
          <w:rFonts w:ascii="Arial" w:hAnsi="Arial" w:cs="Arial"/>
          <w:bCs/>
          <w:iCs/>
          <w:sz w:val="24"/>
          <w:szCs w:val="24"/>
          <w:lang w:val="en-GB"/>
        </w:rPr>
        <w:t>. Neve</w:t>
      </w:r>
      <w:r w:rsidR="003C72BD" w:rsidRPr="00C926EC">
        <w:rPr>
          <w:rFonts w:ascii="Arial" w:hAnsi="Arial" w:cs="Arial"/>
          <w:bCs/>
          <w:iCs/>
          <w:sz w:val="24"/>
          <w:szCs w:val="24"/>
          <w:lang w:val="en-GB"/>
        </w:rPr>
        <w:t>r</w:t>
      </w:r>
      <w:r w:rsidR="00A54164" w:rsidRPr="00C926EC">
        <w:rPr>
          <w:rFonts w:ascii="Arial" w:hAnsi="Arial" w:cs="Arial"/>
          <w:bCs/>
          <w:iCs/>
          <w:sz w:val="24"/>
          <w:szCs w:val="24"/>
          <w:lang w:val="en-GB"/>
        </w:rPr>
        <w:t>theless, feed-in tariffs incentives influence on profitability results is a</w:t>
      </w:r>
      <w:r w:rsidR="007E0C6D" w:rsidRPr="00C926EC">
        <w:rPr>
          <w:rFonts w:ascii="Arial" w:hAnsi="Arial" w:cs="Arial"/>
          <w:bCs/>
          <w:iCs/>
          <w:sz w:val="24"/>
          <w:szCs w:val="24"/>
          <w:lang w:val="en-GB"/>
        </w:rPr>
        <w:t>n interesting analysis. Figure 3</w:t>
      </w:r>
      <w:r w:rsidR="00A54164" w:rsidRPr="00C926EC">
        <w:rPr>
          <w:rFonts w:ascii="Arial" w:hAnsi="Arial" w:cs="Arial"/>
          <w:bCs/>
          <w:iCs/>
          <w:sz w:val="24"/>
          <w:szCs w:val="24"/>
          <w:lang w:val="en-GB"/>
        </w:rPr>
        <w:t xml:space="preserve"> shows the evolution of the NPV value with feed-in tariffs for biomethane production. </w:t>
      </w:r>
      <w:r w:rsidR="000C40D2" w:rsidRPr="00C926EC">
        <w:rPr>
          <w:rFonts w:ascii="Arial" w:hAnsi="Arial" w:cs="Arial"/>
          <w:bCs/>
          <w:iCs/>
          <w:sz w:val="24"/>
          <w:szCs w:val="24"/>
          <w:lang w:val="en-GB"/>
        </w:rPr>
        <w:t xml:space="preserve">Table 3 collects the DPBT values obtained for those scenarios in which a positive NPV value was obtained. </w:t>
      </w:r>
      <w:r w:rsidR="00320931" w:rsidRPr="00C926EC">
        <w:rPr>
          <w:rFonts w:ascii="Arial" w:hAnsi="Arial" w:cs="Arial"/>
          <w:bCs/>
          <w:iCs/>
          <w:sz w:val="24"/>
          <w:szCs w:val="24"/>
          <w:lang w:val="en-GB"/>
        </w:rPr>
        <w:t xml:space="preserve">The analysis </w:t>
      </w:r>
      <w:proofErr w:type="gramStart"/>
      <w:r w:rsidR="00320931" w:rsidRPr="00C926EC">
        <w:rPr>
          <w:rFonts w:ascii="Arial" w:hAnsi="Arial" w:cs="Arial"/>
          <w:bCs/>
          <w:iCs/>
          <w:sz w:val="24"/>
          <w:szCs w:val="24"/>
          <w:lang w:val="en-GB"/>
        </w:rPr>
        <w:t>have</w:t>
      </w:r>
      <w:proofErr w:type="gramEnd"/>
      <w:r w:rsidR="00320931" w:rsidRPr="00C926EC">
        <w:rPr>
          <w:rFonts w:ascii="Arial" w:hAnsi="Arial" w:cs="Arial"/>
          <w:bCs/>
          <w:iCs/>
          <w:sz w:val="24"/>
          <w:szCs w:val="24"/>
          <w:lang w:val="en-GB"/>
        </w:rPr>
        <w:t xml:space="preserve"> been performed for the four baseline scenarios (only upgrading, upgrading plus 0.5, 1 and 2 km distribution), and for the three biogas plant sizes (122, 94 and 182 m</w:t>
      </w:r>
      <w:r w:rsidR="00320931" w:rsidRPr="00C926EC">
        <w:rPr>
          <w:rFonts w:ascii="Arial" w:hAnsi="Arial" w:cs="Arial"/>
          <w:bCs/>
          <w:iCs/>
          <w:sz w:val="24"/>
          <w:szCs w:val="24"/>
          <w:vertAlign w:val="superscript"/>
          <w:lang w:val="en-GB"/>
        </w:rPr>
        <w:t>3</w:t>
      </w:r>
      <w:r w:rsidR="00320931" w:rsidRPr="00C926EC">
        <w:rPr>
          <w:rFonts w:ascii="Arial" w:hAnsi="Arial" w:cs="Arial"/>
          <w:bCs/>
          <w:iCs/>
          <w:sz w:val="24"/>
          <w:szCs w:val="24"/>
          <w:lang w:val="en-GB"/>
        </w:rPr>
        <w:t>/h). As shown, bigger plants need lower subsidies to reach profitability</w:t>
      </w:r>
      <w:r w:rsidR="000C40D2" w:rsidRPr="00C926EC">
        <w:rPr>
          <w:rFonts w:ascii="Arial" w:hAnsi="Arial" w:cs="Arial"/>
          <w:bCs/>
          <w:iCs/>
          <w:sz w:val="24"/>
          <w:szCs w:val="24"/>
          <w:lang w:val="en-GB"/>
        </w:rPr>
        <w:t>. I</w:t>
      </w:r>
      <w:r w:rsidR="00320931" w:rsidRPr="00C926EC">
        <w:rPr>
          <w:rFonts w:ascii="Arial" w:hAnsi="Arial" w:cs="Arial"/>
          <w:bCs/>
          <w:iCs/>
          <w:sz w:val="24"/>
          <w:szCs w:val="24"/>
          <w:lang w:val="en-GB"/>
        </w:rPr>
        <w:t>n the case of only upgrading, 182 m</w:t>
      </w:r>
      <w:r w:rsidR="00320931" w:rsidRPr="00C926EC">
        <w:rPr>
          <w:rFonts w:ascii="Arial" w:hAnsi="Arial" w:cs="Arial"/>
          <w:bCs/>
          <w:iCs/>
          <w:sz w:val="24"/>
          <w:szCs w:val="24"/>
          <w:vertAlign w:val="superscript"/>
          <w:lang w:val="en-GB"/>
        </w:rPr>
        <w:t>3</w:t>
      </w:r>
      <w:r w:rsidR="00320931" w:rsidRPr="00C926EC">
        <w:rPr>
          <w:rFonts w:ascii="Arial" w:hAnsi="Arial" w:cs="Arial"/>
          <w:bCs/>
          <w:iCs/>
          <w:sz w:val="24"/>
          <w:szCs w:val="24"/>
          <w:lang w:val="en-GB"/>
        </w:rPr>
        <w:t>/h biogas plant would be profitable with 36.6 €/MWh, whereas 65 €/MWh are need</w:t>
      </w:r>
      <w:r w:rsidR="004C5CCB" w:rsidRPr="00C926EC">
        <w:rPr>
          <w:rFonts w:ascii="Arial" w:hAnsi="Arial" w:cs="Arial"/>
          <w:bCs/>
          <w:iCs/>
          <w:sz w:val="24"/>
          <w:szCs w:val="24"/>
          <w:lang w:val="en-GB"/>
        </w:rPr>
        <w:t>ed</w:t>
      </w:r>
      <w:r w:rsidR="00320931" w:rsidRPr="00C926EC">
        <w:rPr>
          <w:rFonts w:ascii="Arial" w:hAnsi="Arial" w:cs="Arial"/>
          <w:bCs/>
          <w:iCs/>
          <w:sz w:val="24"/>
          <w:szCs w:val="24"/>
          <w:lang w:val="en-GB"/>
        </w:rPr>
        <w:t xml:space="preserve"> for 94 m</w:t>
      </w:r>
      <w:r w:rsidR="00320931" w:rsidRPr="00C926EC">
        <w:rPr>
          <w:rFonts w:ascii="Arial" w:hAnsi="Arial" w:cs="Arial"/>
          <w:bCs/>
          <w:iCs/>
          <w:sz w:val="24"/>
          <w:szCs w:val="24"/>
          <w:vertAlign w:val="superscript"/>
          <w:lang w:val="en-GB"/>
        </w:rPr>
        <w:t>3</w:t>
      </w:r>
      <w:r w:rsidR="00320931" w:rsidRPr="00C926EC">
        <w:rPr>
          <w:rFonts w:ascii="Arial" w:hAnsi="Arial" w:cs="Arial"/>
          <w:bCs/>
          <w:iCs/>
          <w:sz w:val="24"/>
          <w:szCs w:val="24"/>
          <w:lang w:val="en-GB"/>
        </w:rPr>
        <w:t>/h biogas plant.</w:t>
      </w:r>
      <w:r w:rsidR="00247A54" w:rsidRPr="00C926EC">
        <w:rPr>
          <w:rFonts w:ascii="Arial" w:hAnsi="Arial" w:cs="Arial"/>
          <w:bCs/>
          <w:iCs/>
          <w:sz w:val="24"/>
          <w:szCs w:val="24"/>
          <w:lang w:val="en-GB"/>
        </w:rPr>
        <w:t xml:space="preserve"> </w:t>
      </w:r>
      <w:r w:rsidR="000C40D2" w:rsidRPr="00C926EC">
        <w:rPr>
          <w:rFonts w:ascii="Arial" w:hAnsi="Arial" w:cs="Arial"/>
          <w:bCs/>
          <w:iCs/>
          <w:sz w:val="24"/>
          <w:szCs w:val="24"/>
          <w:lang w:val="en-GB"/>
        </w:rPr>
        <w:t>Concerning DPBT</w:t>
      </w:r>
      <w:r w:rsidR="00EB47F7" w:rsidRPr="00C926EC">
        <w:rPr>
          <w:rFonts w:ascii="Arial" w:hAnsi="Arial" w:cs="Arial"/>
          <w:bCs/>
          <w:iCs/>
          <w:sz w:val="24"/>
          <w:szCs w:val="24"/>
          <w:lang w:val="en-GB"/>
        </w:rPr>
        <w:t>, values varying from 2 to 19 years were obtained</w:t>
      </w:r>
      <w:r w:rsidR="00B679C4" w:rsidRPr="00C926EC">
        <w:rPr>
          <w:rFonts w:ascii="Arial" w:hAnsi="Arial" w:cs="Arial"/>
          <w:bCs/>
          <w:iCs/>
          <w:sz w:val="24"/>
          <w:szCs w:val="24"/>
          <w:lang w:val="en-GB"/>
        </w:rPr>
        <w:t>. Likely</w:t>
      </w:r>
      <w:r w:rsidR="004C5CCB" w:rsidRPr="00C926EC">
        <w:rPr>
          <w:rFonts w:ascii="Arial" w:hAnsi="Arial" w:cs="Arial"/>
          <w:bCs/>
          <w:iCs/>
          <w:sz w:val="24"/>
          <w:szCs w:val="24"/>
          <w:lang w:val="en-GB"/>
        </w:rPr>
        <w:t>,</w:t>
      </w:r>
      <w:r w:rsidR="00B679C4" w:rsidRPr="00C926EC">
        <w:rPr>
          <w:rFonts w:ascii="Arial" w:hAnsi="Arial" w:cs="Arial"/>
          <w:bCs/>
          <w:iCs/>
          <w:sz w:val="24"/>
          <w:szCs w:val="24"/>
          <w:lang w:val="en-GB"/>
        </w:rPr>
        <w:t xml:space="preserve"> in the higher end of this range</w:t>
      </w:r>
      <w:r w:rsidR="00EB47F7" w:rsidRPr="00C926EC">
        <w:rPr>
          <w:rFonts w:ascii="Arial" w:hAnsi="Arial" w:cs="Arial"/>
          <w:bCs/>
          <w:iCs/>
          <w:sz w:val="24"/>
          <w:szCs w:val="24"/>
          <w:lang w:val="en-GB"/>
        </w:rPr>
        <w:t xml:space="preserve"> investors would not be attracted due to the long time</w:t>
      </w:r>
      <w:r w:rsidR="00B91AA9" w:rsidRPr="00C926EC">
        <w:rPr>
          <w:rFonts w:ascii="Arial" w:hAnsi="Arial" w:cs="Arial"/>
          <w:bCs/>
          <w:iCs/>
          <w:sz w:val="24"/>
          <w:szCs w:val="24"/>
          <w:lang w:val="en-GB"/>
        </w:rPr>
        <w:t xml:space="preserve"> needed</w:t>
      </w:r>
      <w:r w:rsidR="00EB47F7" w:rsidRPr="00C926EC">
        <w:rPr>
          <w:rFonts w:ascii="Arial" w:hAnsi="Arial" w:cs="Arial"/>
          <w:bCs/>
          <w:iCs/>
          <w:sz w:val="24"/>
          <w:szCs w:val="24"/>
          <w:lang w:val="en-GB"/>
        </w:rPr>
        <w:t xml:space="preserve"> to get a </w:t>
      </w:r>
      <w:r w:rsidR="00B91AA9" w:rsidRPr="00C926EC">
        <w:rPr>
          <w:rFonts w:ascii="Arial" w:hAnsi="Arial" w:cs="Arial"/>
          <w:bCs/>
          <w:iCs/>
          <w:sz w:val="24"/>
          <w:szCs w:val="24"/>
          <w:lang w:val="en-GB"/>
        </w:rPr>
        <w:t xml:space="preserve">positive </w:t>
      </w:r>
      <w:r w:rsidR="00EB47F7" w:rsidRPr="00C926EC">
        <w:rPr>
          <w:rFonts w:ascii="Arial" w:hAnsi="Arial" w:cs="Arial"/>
          <w:bCs/>
          <w:iCs/>
          <w:sz w:val="24"/>
          <w:szCs w:val="24"/>
          <w:lang w:val="en-GB"/>
        </w:rPr>
        <w:t xml:space="preserve">NPV. </w:t>
      </w:r>
      <w:r w:rsidR="00247A54" w:rsidRPr="00C926EC">
        <w:rPr>
          <w:rFonts w:ascii="Arial" w:hAnsi="Arial" w:cs="Arial"/>
          <w:bCs/>
          <w:iCs/>
          <w:sz w:val="24"/>
          <w:szCs w:val="24"/>
          <w:lang w:val="en-GB"/>
        </w:rPr>
        <w:t>Considering the values offered in other countries such as Austria (</w:t>
      </w:r>
      <w:r w:rsidR="0044087B" w:rsidRPr="00C926EC">
        <w:rPr>
          <w:rFonts w:ascii="Arial" w:hAnsi="Arial" w:cs="Arial"/>
          <w:bCs/>
          <w:iCs/>
          <w:sz w:val="24"/>
          <w:szCs w:val="24"/>
          <w:lang w:val="en-GB"/>
        </w:rPr>
        <w:t>12.51–16.51 €/MWh</w:t>
      </w:r>
      <w:r w:rsidR="00247A54" w:rsidRPr="00C926EC">
        <w:rPr>
          <w:rFonts w:ascii="Arial" w:hAnsi="Arial" w:cs="Arial"/>
          <w:bCs/>
          <w:iCs/>
          <w:sz w:val="24"/>
          <w:szCs w:val="24"/>
          <w:lang w:val="en-GB"/>
        </w:rPr>
        <w:t>) and Slovakia (</w:t>
      </w:r>
      <w:r w:rsidR="0044087B" w:rsidRPr="00C926EC">
        <w:rPr>
          <w:rFonts w:ascii="Arial" w:hAnsi="Arial" w:cs="Arial"/>
          <w:bCs/>
          <w:iCs/>
          <w:sz w:val="24"/>
          <w:szCs w:val="24"/>
          <w:lang w:val="en-GB"/>
        </w:rPr>
        <w:t>10.75 €/MWh</w:t>
      </w:r>
      <w:r w:rsidR="00247A54" w:rsidRPr="00C926EC">
        <w:rPr>
          <w:rFonts w:ascii="Arial" w:hAnsi="Arial" w:cs="Arial"/>
          <w:bCs/>
          <w:iCs/>
          <w:sz w:val="24"/>
          <w:szCs w:val="24"/>
          <w:lang w:val="en-GB"/>
        </w:rPr>
        <w:t xml:space="preserve">), biomethane production plants would </w:t>
      </w:r>
      <w:r w:rsidR="00B91AA9" w:rsidRPr="00C926EC">
        <w:rPr>
          <w:rFonts w:ascii="Arial" w:hAnsi="Arial" w:cs="Arial"/>
          <w:bCs/>
          <w:iCs/>
          <w:sz w:val="24"/>
          <w:szCs w:val="24"/>
          <w:lang w:val="en-GB"/>
        </w:rPr>
        <w:t xml:space="preserve">still </w:t>
      </w:r>
      <w:r w:rsidR="00247A54" w:rsidRPr="00C926EC">
        <w:rPr>
          <w:rFonts w:ascii="Arial" w:hAnsi="Arial" w:cs="Arial"/>
          <w:bCs/>
          <w:iCs/>
          <w:sz w:val="24"/>
          <w:szCs w:val="24"/>
          <w:lang w:val="en-GB"/>
        </w:rPr>
        <w:t>be unprofitable in Cornwall. Nonetheless, under the Italian scenario, where 61 €/MWh are offered, the largest plant size (182 m</w:t>
      </w:r>
      <w:r w:rsidR="00247A54" w:rsidRPr="00C926EC">
        <w:rPr>
          <w:rFonts w:ascii="Arial" w:hAnsi="Arial" w:cs="Arial"/>
          <w:bCs/>
          <w:iCs/>
          <w:sz w:val="24"/>
          <w:szCs w:val="24"/>
          <w:vertAlign w:val="superscript"/>
          <w:lang w:val="en-GB"/>
        </w:rPr>
        <w:t>3</w:t>
      </w:r>
      <w:r w:rsidR="00247A54" w:rsidRPr="00C926EC">
        <w:rPr>
          <w:rFonts w:ascii="Arial" w:hAnsi="Arial" w:cs="Arial"/>
          <w:bCs/>
          <w:iCs/>
          <w:sz w:val="24"/>
          <w:szCs w:val="24"/>
          <w:lang w:val="en-GB"/>
        </w:rPr>
        <w:t>/h) here studied would be profitable in all the cases. In this scenario, also 122 m</w:t>
      </w:r>
      <w:r w:rsidR="00247A54" w:rsidRPr="00C926EC">
        <w:rPr>
          <w:rFonts w:ascii="Arial" w:hAnsi="Arial" w:cs="Arial"/>
          <w:bCs/>
          <w:iCs/>
          <w:sz w:val="24"/>
          <w:szCs w:val="24"/>
          <w:vertAlign w:val="superscript"/>
          <w:lang w:val="en-GB"/>
        </w:rPr>
        <w:t>3</w:t>
      </w:r>
      <w:r w:rsidR="00247A54" w:rsidRPr="00C926EC">
        <w:rPr>
          <w:rFonts w:ascii="Arial" w:hAnsi="Arial" w:cs="Arial"/>
          <w:bCs/>
          <w:iCs/>
          <w:sz w:val="24"/>
          <w:szCs w:val="24"/>
          <w:lang w:val="en-GB"/>
        </w:rPr>
        <w:t xml:space="preserve">/h plant size would reach profitability, except for the case of upgrading plus 2 kms distribution (65.8 €/MWh needed to reach profitability). This fact reveals the </w:t>
      </w:r>
      <w:r w:rsidR="00CC2469" w:rsidRPr="00C926EC">
        <w:rPr>
          <w:rFonts w:ascii="Arial" w:hAnsi="Arial" w:cs="Arial"/>
          <w:bCs/>
          <w:iCs/>
          <w:sz w:val="24"/>
          <w:szCs w:val="24"/>
          <w:lang w:val="en-GB"/>
        </w:rPr>
        <w:t xml:space="preserve">pivotal </w:t>
      </w:r>
      <w:r w:rsidR="00247A54" w:rsidRPr="00C926EC">
        <w:rPr>
          <w:rFonts w:ascii="Arial" w:hAnsi="Arial" w:cs="Arial"/>
          <w:bCs/>
          <w:iCs/>
          <w:sz w:val="24"/>
          <w:szCs w:val="24"/>
          <w:lang w:val="en-GB"/>
        </w:rPr>
        <w:t xml:space="preserve">importance </w:t>
      </w:r>
      <w:r w:rsidR="00B91AA9" w:rsidRPr="00C926EC">
        <w:rPr>
          <w:rFonts w:ascii="Arial" w:hAnsi="Arial" w:cs="Arial"/>
          <w:bCs/>
          <w:iCs/>
          <w:sz w:val="24"/>
          <w:szCs w:val="24"/>
          <w:lang w:val="en-GB"/>
        </w:rPr>
        <w:t xml:space="preserve">of the </w:t>
      </w:r>
      <w:r w:rsidR="00247A54" w:rsidRPr="00C926EC">
        <w:rPr>
          <w:rFonts w:ascii="Arial" w:hAnsi="Arial" w:cs="Arial"/>
          <w:bCs/>
          <w:iCs/>
          <w:sz w:val="24"/>
          <w:szCs w:val="24"/>
          <w:lang w:val="en-GB"/>
        </w:rPr>
        <w:t xml:space="preserve">natural gas grid </w:t>
      </w:r>
      <w:r w:rsidR="00CC2469" w:rsidRPr="00C926EC">
        <w:rPr>
          <w:rFonts w:ascii="Arial" w:hAnsi="Arial" w:cs="Arial"/>
          <w:bCs/>
          <w:iCs/>
          <w:sz w:val="24"/>
          <w:szCs w:val="24"/>
          <w:lang w:val="en-GB"/>
        </w:rPr>
        <w:t xml:space="preserve">availability </w:t>
      </w:r>
      <w:r w:rsidR="00247A54" w:rsidRPr="00C926EC">
        <w:rPr>
          <w:rFonts w:ascii="Arial" w:hAnsi="Arial" w:cs="Arial"/>
          <w:bCs/>
          <w:iCs/>
          <w:sz w:val="24"/>
          <w:szCs w:val="24"/>
          <w:lang w:val="en-GB"/>
        </w:rPr>
        <w:t xml:space="preserve">nearby the biogas facilities to reduce distribution </w:t>
      </w:r>
      <w:r w:rsidR="0044087B" w:rsidRPr="00C926EC">
        <w:rPr>
          <w:rFonts w:ascii="Arial" w:hAnsi="Arial" w:cs="Arial"/>
          <w:bCs/>
          <w:iCs/>
          <w:sz w:val="24"/>
          <w:szCs w:val="24"/>
          <w:lang w:val="en-GB"/>
        </w:rPr>
        <w:t>costs</w:t>
      </w:r>
      <w:r w:rsidR="00247A54" w:rsidRPr="00C926EC">
        <w:rPr>
          <w:rFonts w:ascii="Arial" w:hAnsi="Arial" w:cs="Arial"/>
          <w:bCs/>
          <w:iCs/>
          <w:sz w:val="24"/>
          <w:szCs w:val="24"/>
          <w:lang w:val="en-GB"/>
        </w:rPr>
        <w:t>.</w:t>
      </w:r>
      <w:r w:rsidR="003C12CF" w:rsidRPr="00C926EC">
        <w:rPr>
          <w:rFonts w:ascii="Arial" w:hAnsi="Arial" w:cs="Arial"/>
          <w:bCs/>
          <w:iCs/>
          <w:sz w:val="24"/>
          <w:szCs w:val="24"/>
          <w:lang w:val="en-GB"/>
        </w:rPr>
        <w:t xml:space="preserve"> For the smallest biogas plant size, even under the Italian scenario, profitability would not be reached. Therefore, feed-in tariffs incentives cannot be a standalone measure</w:t>
      </w:r>
      <w:r w:rsidR="00B91AA9" w:rsidRPr="00C926EC">
        <w:rPr>
          <w:rFonts w:ascii="Arial" w:hAnsi="Arial" w:cs="Arial"/>
          <w:bCs/>
          <w:iCs/>
          <w:sz w:val="24"/>
          <w:szCs w:val="24"/>
          <w:lang w:val="en-GB"/>
        </w:rPr>
        <w:t>,</w:t>
      </w:r>
      <w:r w:rsidR="003C12CF" w:rsidRPr="00C926EC">
        <w:rPr>
          <w:rFonts w:ascii="Arial" w:hAnsi="Arial" w:cs="Arial"/>
          <w:bCs/>
          <w:iCs/>
          <w:sz w:val="24"/>
          <w:szCs w:val="24"/>
          <w:lang w:val="en-GB"/>
        </w:rPr>
        <w:t xml:space="preserve"> and other potential revenues </w:t>
      </w:r>
      <w:r w:rsidR="003C12CF" w:rsidRPr="00C926EC">
        <w:rPr>
          <w:rFonts w:ascii="Arial" w:hAnsi="Arial" w:cs="Arial"/>
          <w:bCs/>
          <w:iCs/>
          <w:sz w:val="24"/>
          <w:szCs w:val="24"/>
          <w:lang w:val="en-GB"/>
        </w:rPr>
        <w:lastRenderedPageBreak/>
        <w:t xml:space="preserve">improvements – cost reductions must be considered. </w:t>
      </w:r>
      <w:r w:rsidR="00005425" w:rsidRPr="00C926EC">
        <w:rPr>
          <w:rFonts w:ascii="Arial" w:hAnsi="Arial" w:cs="Arial"/>
          <w:bCs/>
          <w:iCs/>
          <w:sz w:val="24"/>
          <w:szCs w:val="24"/>
          <w:lang w:val="en-GB"/>
        </w:rPr>
        <w:t xml:space="preserve">To </w:t>
      </w:r>
      <w:r w:rsidR="00183381" w:rsidRPr="00C926EC">
        <w:rPr>
          <w:rFonts w:ascii="Arial" w:hAnsi="Arial" w:cs="Arial"/>
          <w:bCs/>
          <w:iCs/>
          <w:sz w:val="24"/>
          <w:szCs w:val="24"/>
          <w:lang w:val="en-GB"/>
        </w:rPr>
        <w:t xml:space="preserve">properly </w:t>
      </w:r>
      <w:r w:rsidR="00005425" w:rsidRPr="00C926EC">
        <w:rPr>
          <w:rFonts w:ascii="Arial" w:hAnsi="Arial" w:cs="Arial"/>
          <w:bCs/>
          <w:iCs/>
          <w:sz w:val="24"/>
          <w:szCs w:val="24"/>
          <w:lang w:val="en-GB"/>
        </w:rPr>
        <w:t>understand the previous discussion,</w:t>
      </w:r>
      <w:r w:rsidR="00AB7D6E" w:rsidRPr="00C926EC">
        <w:rPr>
          <w:rFonts w:ascii="Arial" w:hAnsi="Arial" w:cs="Arial"/>
          <w:bCs/>
          <w:iCs/>
          <w:sz w:val="24"/>
          <w:szCs w:val="24"/>
          <w:lang w:val="en-GB"/>
        </w:rPr>
        <w:t xml:space="preserve"> </w:t>
      </w:r>
      <w:r w:rsidR="007B440B" w:rsidRPr="00C926EC">
        <w:rPr>
          <w:rFonts w:ascii="Arial" w:hAnsi="Arial" w:cs="Arial"/>
          <w:bCs/>
          <w:iCs/>
          <w:sz w:val="24"/>
          <w:szCs w:val="24"/>
          <w:lang w:val="en-GB"/>
        </w:rPr>
        <w:t>one</w:t>
      </w:r>
      <w:r w:rsidR="00AB7D6E" w:rsidRPr="00C926EC">
        <w:rPr>
          <w:rFonts w:ascii="Arial" w:hAnsi="Arial" w:cs="Arial"/>
          <w:bCs/>
          <w:iCs/>
          <w:sz w:val="24"/>
          <w:szCs w:val="24"/>
          <w:lang w:val="en-GB"/>
        </w:rPr>
        <w:t xml:space="preserve"> should focus</w:t>
      </w:r>
      <w:r w:rsidR="00005425" w:rsidRPr="00C926EC">
        <w:rPr>
          <w:rFonts w:ascii="Arial" w:hAnsi="Arial" w:cs="Arial"/>
          <w:bCs/>
          <w:iCs/>
          <w:sz w:val="24"/>
          <w:szCs w:val="24"/>
          <w:lang w:val="en-GB"/>
        </w:rPr>
        <w:t xml:space="preserve"> </w:t>
      </w:r>
      <w:r w:rsidR="00AB7D6E" w:rsidRPr="00C926EC">
        <w:rPr>
          <w:rFonts w:ascii="Arial" w:hAnsi="Arial" w:cs="Arial"/>
          <w:bCs/>
          <w:iCs/>
          <w:sz w:val="24"/>
          <w:szCs w:val="24"/>
          <w:lang w:val="en-GB"/>
        </w:rPr>
        <w:t>on</w:t>
      </w:r>
      <w:r w:rsidR="00005425" w:rsidRPr="00C926EC">
        <w:rPr>
          <w:rFonts w:ascii="Arial" w:hAnsi="Arial" w:cs="Arial"/>
          <w:bCs/>
          <w:iCs/>
          <w:sz w:val="24"/>
          <w:szCs w:val="24"/>
          <w:lang w:val="en-GB"/>
        </w:rPr>
        <w:t xml:space="preserve"> the differences </w:t>
      </w:r>
      <w:r w:rsidR="007B440B" w:rsidRPr="00C926EC">
        <w:rPr>
          <w:rFonts w:ascii="Arial" w:hAnsi="Arial" w:cs="Arial"/>
          <w:bCs/>
          <w:iCs/>
          <w:sz w:val="24"/>
          <w:szCs w:val="24"/>
          <w:lang w:val="en-GB"/>
        </w:rPr>
        <w:t xml:space="preserve">among </w:t>
      </w:r>
      <w:r w:rsidR="00AB7D6E" w:rsidRPr="00C926EC">
        <w:rPr>
          <w:rFonts w:ascii="Arial" w:hAnsi="Arial" w:cs="Arial"/>
          <w:bCs/>
          <w:iCs/>
          <w:sz w:val="24"/>
          <w:szCs w:val="24"/>
          <w:lang w:val="en-GB"/>
        </w:rPr>
        <w:t xml:space="preserve">power </w:t>
      </w:r>
      <w:proofErr w:type="gramStart"/>
      <w:r w:rsidR="00AB7D6E" w:rsidRPr="00C926EC">
        <w:rPr>
          <w:rFonts w:ascii="Arial" w:hAnsi="Arial" w:cs="Arial"/>
          <w:bCs/>
          <w:iCs/>
          <w:sz w:val="24"/>
          <w:szCs w:val="24"/>
          <w:lang w:val="en-GB"/>
        </w:rPr>
        <w:t xml:space="preserve">purchasing </w:t>
      </w:r>
      <w:r w:rsidR="00005425" w:rsidRPr="00C926EC">
        <w:rPr>
          <w:rFonts w:ascii="Arial" w:hAnsi="Arial" w:cs="Arial"/>
          <w:bCs/>
          <w:iCs/>
          <w:sz w:val="24"/>
          <w:szCs w:val="24"/>
          <w:lang w:val="en-GB"/>
        </w:rPr>
        <w:t xml:space="preserve"> </w:t>
      </w:r>
      <w:r w:rsidR="00AB7D6E" w:rsidRPr="00C926EC">
        <w:rPr>
          <w:rFonts w:ascii="Arial" w:hAnsi="Arial" w:cs="Arial"/>
          <w:bCs/>
          <w:iCs/>
          <w:sz w:val="24"/>
          <w:szCs w:val="24"/>
          <w:lang w:val="en-GB"/>
        </w:rPr>
        <w:t>within</w:t>
      </w:r>
      <w:proofErr w:type="gramEnd"/>
      <w:r w:rsidR="00AB7D6E" w:rsidRPr="00C926EC">
        <w:rPr>
          <w:rFonts w:ascii="Arial" w:hAnsi="Arial" w:cs="Arial"/>
          <w:bCs/>
          <w:iCs/>
          <w:sz w:val="24"/>
          <w:szCs w:val="24"/>
          <w:lang w:val="en-GB"/>
        </w:rPr>
        <w:t xml:space="preserve"> the compared</w:t>
      </w:r>
      <w:r w:rsidR="00005425" w:rsidRPr="00C926EC">
        <w:rPr>
          <w:rFonts w:ascii="Arial" w:hAnsi="Arial" w:cs="Arial"/>
          <w:bCs/>
          <w:iCs/>
          <w:sz w:val="24"/>
          <w:szCs w:val="24"/>
          <w:lang w:val="en-GB"/>
        </w:rPr>
        <w:t xml:space="preserve"> countries.</w:t>
      </w:r>
      <w:r w:rsidR="00183381" w:rsidRPr="00C926EC">
        <w:rPr>
          <w:rFonts w:ascii="Arial" w:hAnsi="Arial" w:cs="Arial"/>
          <w:bCs/>
          <w:iCs/>
          <w:sz w:val="24"/>
          <w:szCs w:val="24"/>
          <w:lang w:val="en-GB"/>
        </w:rPr>
        <w:t xml:space="preserve"> </w:t>
      </w:r>
      <w:r w:rsidR="00AB7D6E" w:rsidRPr="00C926EC">
        <w:rPr>
          <w:rFonts w:ascii="Arial" w:hAnsi="Arial" w:cs="Arial"/>
          <w:bCs/>
          <w:iCs/>
          <w:sz w:val="24"/>
          <w:szCs w:val="24"/>
          <w:lang w:val="en-GB"/>
        </w:rPr>
        <w:t>For instance</w:t>
      </w:r>
      <w:r w:rsidR="00183381" w:rsidRPr="00C926EC">
        <w:rPr>
          <w:rFonts w:ascii="Arial" w:hAnsi="Arial" w:cs="Arial"/>
          <w:bCs/>
          <w:iCs/>
          <w:sz w:val="24"/>
          <w:szCs w:val="24"/>
          <w:lang w:val="en-GB"/>
        </w:rPr>
        <w:t xml:space="preserve">, electricity prices in UK are 34% and 15% higher in comparison with Austria and Slovakia, respectively </w:t>
      </w:r>
      <w:r w:rsidR="0099266E" w:rsidRPr="00C926EC">
        <w:rPr>
          <w:rFonts w:ascii="Arial" w:hAnsi="Arial" w:cs="Arial"/>
          <w:bCs/>
          <w:iCs/>
          <w:sz w:val="24"/>
          <w:szCs w:val="24"/>
          <w:lang w:val="en-GB"/>
        </w:rPr>
        <w:fldChar w:fldCharType="begin" w:fldLock="1"/>
      </w:r>
      <w:r w:rsidR="00F8432F" w:rsidRPr="00C926EC">
        <w:rPr>
          <w:rFonts w:ascii="Arial" w:hAnsi="Arial" w:cs="Arial"/>
          <w:bCs/>
          <w:iCs/>
          <w:sz w:val="24"/>
          <w:szCs w:val="24"/>
          <w:lang w:val="en-GB"/>
        </w:rPr>
        <w:instrText>ADDIN CSL_CITATION {"citationItems":[{"id":"ITEM-1","itemData":{"URL":"https://www.pordata.pt/en/Europe/Electricity+prices+for+households+and+industrial+users+(Euro+ECU)-1477","accessed":{"date-parts":[["2019","7","18"]]},"author":[{"dropping-particle":"","family":"PORDATA","given":"","non-dropping-particle":"","parse-names":false,"suffix":""}],"container-title":"Fundacao Francisco Manuel dos Santos","id":"ITEM-1","issued":{"date-parts":[["2019"]]},"page":"1-2","title":"Electricity prices for households and industrial users (Euro/ECU)","type":"webpage"},"uris":["http://www.mendeley.com/documents/?uuid=03f786f7-88fb-495d-a61e-fe1887f3385a"]}],"mendeley":{"formattedCitation":"(PORDATA, 2019)","plainTextFormattedCitation":"(PORDATA, 2019)","previouslyFormattedCitation":"(PORDATA, 2019)"},"properties":{"noteIndex":0},"schema":"https://github.com/citation-style-language/schema/raw/master/csl-citation.json"}</w:instrText>
      </w:r>
      <w:r w:rsidR="0099266E" w:rsidRPr="00C926EC">
        <w:rPr>
          <w:rFonts w:ascii="Arial" w:hAnsi="Arial" w:cs="Arial"/>
          <w:bCs/>
          <w:iCs/>
          <w:sz w:val="24"/>
          <w:szCs w:val="24"/>
          <w:lang w:val="en-GB"/>
        </w:rPr>
        <w:fldChar w:fldCharType="separate"/>
      </w:r>
      <w:r w:rsidR="00F8432F" w:rsidRPr="00C926EC">
        <w:rPr>
          <w:rFonts w:ascii="Arial" w:hAnsi="Arial" w:cs="Arial"/>
          <w:bCs/>
          <w:iCs/>
          <w:noProof/>
          <w:sz w:val="24"/>
          <w:szCs w:val="24"/>
          <w:lang w:val="en-GB"/>
        </w:rPr>
        <w:t>(PORDATA, 2019)</w:t>
      </w:r>
      <w:r w:rsidR="0099266E" w:rsidRPr="00C926EC">
        <w:rPr>
          <w:rFonts w:ascii="Arial" w:hAnsi="Arial" w:cs="Arial"/>
          <w:bCs/>
          <w:iCs/>
          <w:sz w:val="24"/>
          <w:szCs w:val="24"/>
          <w:lang w:val="en-GB"/>
        </w:rPr>
        <w:fldChar w:fldCharType="end"/>
      </w:r>
      <w:r w:rsidR="0099266E" w:rsidRPr="00C926EC">
        <w:rPr>
          <w:rFonts w:ascii="Arial" w:hAnsi="Arial" w:cs="Arial"/>
          <w:bCs/>
          <w:iCs/>
          <w:sz w:val="24"/>
          <w:szCs w:val="24"/>
          <w:lang w:val="en-GB"/>
        </w:rPr>
        <w:t xml:space="preserve">, while the difference with Italy is </w:t>
      </w:r>
      <w:r w:rsidR="00AB7D6E" w:rsidRPr="00C926EC">
        <w:rPr>
          <w:rFonts w:ascii="Arial" w:hAnsi="Arial" w:cs="Arial"/>
          <w:bCs/>
          <w:iCs/>
          <w:sz w:val="24"/>
          <w:szCs w:val="24"/>
          <w:lang w:val="en-GB"/>
        </w:rPr>
        <w:t xml:space="preserve">narrow </w:t>
      </w:r>
      <w:r w:rsidR="0099266E" w:rsidRPr="00C926EC">
        <w:rPr>
          <w:rFonts w:ascii="Arial" w:hAnsi="Arial" w:cs="Arial"/>
          <w:bCs/>
          <w:iCs/>
          <w:sz w:val="24"/>
          <w:szCs w:val="24"/>
          <w:lang w:val="en-GB"/>
        </w:rPr>
        <w:t>(2%). Therefore</w:t>
      </w:r>
      <w:r w:rsidR="00B91AA9" w:rsidRPr="00C926EC">
        <w:rPr>
          <w:rFonts w:ascii="Arial" w:hAnsi="Arial" w:cs="Arial"/>
          <w:bCs/>
          <w:iCs/>
          <w:sz w:val="24"/>
          <w:szCs w:val="24"/>
          <w:lang w:val="en-GB"/>
        </w:rPr>
        <w:t>,</w:t>
      </w:r>
      <w:r w:rsidR="00AB7D6E" w:rsidRPr="00C926EC">
        <w:rPr>
          <w:rFonts w:ascii="Arial" w:hAnsi="Arial" w:cs="Arial"/>
          <w:bCs/>
          <w:iCs/>
          <w:sz w:val="24"/>
          <w:szCs w:val="24"/>
          <w:lang w:val="en-GB"/>
        </w:rPr>
        <w:t xml:space="preserve"> in terms of power rates, Italy-UK represent a fair </w:t>
      </w:r>
      <w:proofErr w:type="spellStart"/>
      <w:r w:rsidR="00AB7D6E" w:rsidRPr="00C926EC">
        <w:rPr>
          <w:rFonts w:ascii="Arial" w:hAnsi="Arial" w:cs="Arial"/>
          <w:bCs/>
          <w:iCs/>
          <w:sz w:val="24"/>
          <w:szCs w:val="24"/>
          <w:lang w:val="en-GB"/>
        </w:rPr>
        <w:t>comparission</w:t>
      </w:r>
      <w:proofErr w:type="spellEnd"/>
      <w:r w:rsidR="0099266E" w:rsidRPr="00C926EC">
        <w:rPr>
          <w:rFonts w:ascii="Arial" w:hAnsi="Arial" w:cs="Arial"/>
          <w:bCs/>
          <w:iCs/>
          <w:sz w:val="24"/>
          <w:szCs w:val="24"/>
          <w:lang w:val="en-GB"/>
        </w:rPr>
        <w:t xml:space="preserve">. </w:t>
      </w:r>
    </w:p>
    <w:p w14:paraId="044D5C54" w14:textId="028727B2" w:rsidR="00FF3845" w:rsidRPr="00C926EC" w:rsidRDefault="00FF3845" w:rsidP="008C671D">
      <w:pPr>
        <w:spacing w:line="480" w:lineRule="auto"/>
        <w:jc w:val="center"/>
        <w:rPr>
          <w:rFonts w:ascii="Arial" w:hAnsi="Arial" w:cs="Arial"/>
          <w:bCs/>
          <w:iCs/>
          <w:sz w:val="24"/>
          <w:szCs w:val="24"/>
          <w:lang w:val="en-GB"/>
        </w:rPr>
      </w:pPr>
    </w:p>
    <w:p w14:paraId="7AE3E484" w14:textId="6CB04A1B" w:rsidR="00075298" w:rsidRPr="00C926EC" w:rsidRDefault="00075298" w:rsidP="002C3493">
      <w:pPr>
        <w:spacing w:line="480" w:lineRule="auto"/>
        <w:jc w:val="center"/>
        <w:rPr>
          <w:rFonts w:ascii="Arial" w:hAnsi="Arial" w:cs="Arial"/>
          <w:bCs/>
          <w:iCs/>
          <w:sz w:val="24"/>
          <w:szCs w:val="24"/>
          <w:lang w:val="en-GB"/>
        </w:rPr>
      </w:pPr>
    </w:p>
    <w:p w14:paraId="4B9B6744" w14:textId="7F9DE77F" w:rsidR="000C40D2" w:rsidRPr="00C926EC" w:rsidRDefault="007E0C6D" w:rsidP="00C604DD">
      <w:pPr>
        <w:spacing w:line="480" w:lineRule="auto"/>
        <w:jc w:val="center"/>
        <w:rPr>
          <w:rFonts w:ascii="Arial" w:hAnsi="Arial" w:cs="Arial"/>
          <w:sz w:val="24"/>
          <w:szCs w:val="24"/>
          <w:lang w:val="en-GB"/>
        </w:rPr>
      </w:pPr>
      <w:r w:rsidRPr="00C926EC">
        <w:rPr>
          <w:rFonts w:ascii="Arial" w:hAnsi="Arial" w:cs="Arial"/>
          <w:sz w:val="24"/>
          <w:szCs w:val="24"/>
          <w:lang w:val="en-GB"/>
        </w:rPr>
        <w:t>Figure 3</w:t>
      </w:r>
      <w:r w:rsidR="0044087B" w:rsidRPr="00C926EC">
        <w:rPr>
          <w:rFonts w:ascii="Arial" w:hAnsi="Arial" w:cs="Arial"/>
          <w:sz w:val="24"/>
          <w:szCs w:val="24"/>
          <w:lang w:val="en-GB"/>
        </w:rPr>
        <w:t>. NPV evolution with feed-in tariffs subsidies.</w:t>
      </w:r>
      <w:r w:rsidR="0086732D" w:rsidRPr="00C926EC">
        <w:rPr>
          <w:rFonts w:ascii="Arial" w:hAnsi="Arial" w:cs="Arial"/>
          <w:sz w:val="24"/>
          <w:szCs w:val="24"/>
          <w:lang w:val="en-GB"/>
        </w:rPr>
        <w:t xml:space="preserve"> Scenarios 13-24.</w:t>
      </w:r>
    </w:p>
    <w:p w14:paraId="0BAEFE9E" w14:textId="4B2EE119" w:rsidR="000C40D2" w:rsidRPr="00C926EC" w:rsidRDefault="000C40D2" w:rsidP="0044087B">
      <w:pPr>
        <w:spacing w:line="480" w:lineRule="auto"/>
        <w:jc w:val="center"/>
        <w:rPr>
          <w:rFonts w:ascii="Arial" w:hAnsi="Arial" w:cs="Arial"/>
          <w:sz w:val="24"/>
          <w:szCs w:val="24"/>
          <w:lang w:val="en-GB"/>
        </w:rPr>
      </w:pPr>
      <w:r w:rsidRPr="00C926EC">
        <w:rPr>
          <w:rFonts w:ascii="Arial" w:hAnsi="Arial" w:cs="Arial"/>
          <w:sz w:val="24"/>
          <w:szCs w:val="24"/>
          <w:lang w:val="en-GB"/>
        </w:rPr>
        <w:t xml:space="preserve">Table 3. DPBT (years) evolution with feed-in tariffs subsidies. </w:t>
      </w:r>
      <w:r w:rsidR="00EB47F7" w:rsidRPr="00C926EC">
        <w:rPr>
          <w:rFonts w:ascii="Arial" w:hAnsi="Arial" w:cs="Arial"/>
          <w:sz w:val="24"/>
          <w:szCs w:val="24"/>
          <w:lang w:val="en-GB"/>
        </w:rPr>
        <w:t xml:space="preserve">Only the feed-in tariffs for which positive values were obtained are included. </w:t>
      </w:r>
    </w:p>
    <w:p w14:paraId="12ED0350" w14:textId="77777777" w:rsidR="000C40D2" w:rsidRPr="00C926EC" w:rsidRDefault="000C40D2" w:rsidP="003C12CF">
      <w:pPr>
        <w:spacing w:line="480" w:lineRule="auto"/>
        <w:jc w:val="both"/>
        <w:rPr>
          <w:rFonts w:ascii="Arial" w:hAnsi="Arial" w:cs="Arial"/>
          <w:bCs/>
          <w:iCs/>
          <w:sz w:val="24"/>
          <w:szCs w:val="24"/>
          <w:lang w:val="en-GB"/>
        </w:rPr>
      </w:pPr>
    </w:p>
    <w:p w14:paraId="742E788A" w14:textId="587C23D1" w:rsidR="002C3493" w:rsidRPr="00C926EC" w:rsidRDefault="003C12CF" w:rsidP="00655F74">
      <w:pPr>
        <w:spacing w:line="480" w:lineRule="auto"/>
        <w:jc w:val="both"/>
        <w:rPr>
          <w:rFonts w:ascii="Arial" w:hAnsi="Arial" w:cs="Arial"/>
          <w:bCs/>
          <w:iCs/>
          <w:sz w:val="24"/>
          <w:szCs w:val="24"/>
          <w:lang w:val="en-GB"/>
        </w:rPr>
      </w:pPr>
      <w:r w:rsidRPr="00C926EC">
        <w:rPr>
          <w:rFonts w:ascii="Arial" w:hAnsi="Arial" w:cs="Arial"/>
          <w:bCs/>
          <w:iCs/>
          <w:sz w:val="24"/>
          <w:szCs w:val="24"/>
          <w:lang w:val="en-GB"/>
        </w:rPr>
        <w:t xml:space="preserve">Another potential alternative to increase </w:t>
      </w:r>
      <w:r w:rsidR="00930EFF" w:rsidRPr="00C926EC">
        <w:rPr>
          <w:rFonts w:ascii="Arial" w:hAnsi="Arial" w:cs="Arial"/>
          <w:bCs/>
          <w:iCs/>
          <w:sz w:val="24"/>
          <w:szCs w:val="24"/>
          <w:lang w:val="en-GB"/>
        </w:rPr>
        <w:t>the revenues</w:t>
      </w:r>
      <w:r w:rsidR="00FF14C6" w:rsidRPr="00C926EC">
        <w:rPr>
          <w:rFonts w:ascii="Arial" w:hAnsi="Arial" w:cs="Arial"/>
          <w:bCs/>
          <w:iCs/>
          <w:sz w:val="24"/>
          <w:szCs w:val="24"/>
          <w:lang w:val="en-GB"/>
        </w:rPr>
        <w:t xml:space="preserve"> (as an avoided cost)</w:t>
      </w:r>
      <w:r w:rsidR="00930EFF" w:rsidRPr="00C926EC">
        <w:rPr>
          <w:rFonts w:ascii="Arial" w:hAnsi="Arial" w:cs="Arial"/>
          <w:bCs/>
          <w:iCs/>
          <w:sz w:val="24"/>
          <w:szCs w:val="24"/>
          <w:lang w:val="en-GB"/>
        </w:rPr>
        <w:t xml:space="preserve"> is </w:t>
      </w:r>
      <w:r w:rsidR="00FF14C6" w:rsidRPr="00C926EC">
        <w:rPr>
          <w:rFonts w:ascii="Arial" w:hAnsi="Arial" w:cs="Arial"/>
          <w:bCs/>
          <w:iCs/>
          <w:sz w:val="24"/>
          <w:szCs w:val="24"/>
          <w:lang w:val="en-GB"/>
        </w:rPr>
        <w:t>increasing the</w:t>
      </w:r>
      <w:r w:rsidR="00930EFF" w:rsidRPr="00C926EC">
        <w:rPr>
          <w:rFonts w:ascii="Arial" w:hAnsi="Arial" w:cs="Arial"/>
          <w:bCs/>
          <w:iCs/>
          <w:sz w:val="24"/>
          <w:szCs w:val="24"/>
          <w:lang w:val="en-GB"/>
        </w:rPr>
        <w:t xml:space="preserve"> CO</w:t>
      </w:r>
      <w:r w:rsidR="00930EFF" w:rsidRPr="00C926EC">
        <w:rPr>
          <w:rFonts w:ascii="Arial" w:hAnsi="Arial" w:cs="Arial"/>
          <w:bCs/>
          <w:iCs/>
          <w:sz w:val="24"/>
          <w:szCs w:val="24"/>
          <w:vertAlign w:val="subscript"/>
          <w:lang w:val="en-GB"/>
        </w:rPr>
        <w:t>2</w:t>
      </w:r>
      <w:r w:rsidR="00930EFF" w:rsidRPr="00C926EC">
        <w:rPr>
          <w:rFonts w:ascii="Arial" w:hAnsi="Arial" w:cs="Arial"/>
          <w:bCs/>
          <w:iCs/>
          <w:sz w:val="24"/>
          <w:szCs w:val="24"/>
          <w:lang w:val="en-GB"/>
        </w:rPr>
        <w:t xml:space="preserve"> </w:t>
      </w:r>
      <w:r w:rsidR="007843A0" w:rsidRPr="00C926EC">
        <w:rPr>
          <w:rFonts w:ascii="Arial" w:hAnsi="Arial" w:cs="Arial"/>
          <w:bCs/>
          <w:iCs/>
          <w:sz w:val="24"/>
          <w:szCs w:val="24"/>
          <w:lang w:val="en-GB"/>
        </w:rPr>
        <w:t>tax</w:t>
      </w:r>
      <w:r w:rsidR="00930EFF" w:rsidRPr="00C926EC">
        <w:rPr>
          <w:rFonts w:ascii="Arial" w:hAnsi="Arial" w:cs="Arial"/>
          <w:bCs/>
          <w:iCs/>
          <w:sz w:val="24"/>
          <w:szCs w:val="24"/>
          <w:lang w:val="en-GB"/>
        </w:rPr>
        <w:t xml:space="preserve"> </w:t>
      </w:r>
      <w:r w:rsidR="00FF14C6" w:rsidRPr="00C926EC">
        <w:rPr>
          <w:rFonts w:ascii="Arial" w:hAnsi="Arial" w:cs="Arial"/>
          <w:bCs/>
          <w:iCs/>
          <w:sz w:val="24"/>
          <w:szCs w:val="24"/>
          <w:lang w:val="en-GB"/>
        </w:rPr>
        <w:t>to be paid by the boat owners</w:t>
      </w:r>
      <w:r w:rsidR="00930EFF" w:rsidRPr="00C926EC">
        <w:rPr>
          <w:rFonts w:ascii="Arial" w:hAnsi="Arial" w:cs="Arial"/>
          <w:bCs/>
          <w:iCs/>
          <w:sz w:val="24"/>
          <w:szCs w:val="24"/>
          <w:lang w:val="en-GB"/>
        </w:rPr>
        <w:t>. Shipping</w:t>
      </w:r>
      <w:r w:rsidR="00FA30FF">
        <w:rPr>
          <w:rFonts w:ascii="Arial" w:hAnsi="Arial" w:cs="Arial"/>
          <w:bCs/>
          <w:iCs/>
          <w:sz w:val="24"/>
          <w:szCs w:val="24"/>
          <w:lang w:val="en-GB"/>
        </w:rPr>
        <w:t>’s</w:t>
      </w:r>
      <w:r w:rsidR="00930EFF" w:rsidRPr="00C926EC">
        <w:rPr>
          <w:rFonts w:ascii="Arial" w:hAnsi="Arial" w:cs="Arial"/>
          <w:bCs/>
          <w:iCs/>
          <w:sz w:val="24"/>
          <w:szCs w:val="24"/>
          <w:lang w:val="en-GB"/>
        </w:rPr>
        <w:t xml:space="preserve"> owner</w:t>
      </w:r>
      <w:r w:rsidR="00B91AA9" w:rsidRPr="00C926EC">
        <w:rPr>
          <w:rFonts w:ascii="Arial" w:hAnsi="Arial" w:cs="Arial"/>
          <w:bCs/>
          <w:iCs/>
          <w:sz w:val="24"/>
          <w:szCs w:val="24"/>
          <w:lang w:val="en-GB"/>
        </w:rPr>
        <w:t>s</w:t>
      </w:r>
      <w:r w:rsidR="00930EFF" w:rsidRPr="00C926EC">
        <w:rPr>
          <w:rFonts w:ascii="Arial" w:hAnsi="Arial" w:cs="Arial"/>
          <w:bCs/>
          <w:iCs/>
          <w:sz w:val="24"/>
          <w:szCs w:val="24"/>
          <w:lang w:val="en-GB"/>
        </w:rPr>
        <w:t xml:space="preserve"> </w:t>
      </w:r>
      <w:r w:rsidR="00AB7D6E" w:rsidRPr="00C926EC">
        <w:rPr>
          <w:rFonts w:ascii="Arial" w:hAnsi="Arial" w:cs="Arial"/>
          <w:bCs/>
          <w:iCs/>
          <w:sz w:val="24"/>
          <w:szCs w:val="24"/>
          <w:lang w:val="en-GB"/>
        </w:rPr>
        <w:t>are annually charged</w:t>
      </w:r>
      <w:r w:rsidR="00930EFF" w:rsidRPr="00C926EC">
        <w:rPr>
          <w:rFonts w:ascii="Arial" w:hAnsi="Arial" w:cs="Arial"/>
          <w:bCs/>
          <w:iCs/>
          <w:sz w:val="24"/>
          <w:szCs w:val="24"/>
          <w:lang w:val="en-GB"/>
        </w:rPr>
        <w:t xml:space="preserve"> </w:t>
      </w:r>
      <w:r w:rsidR="00B91AA9" w:rsidRPr="00C926EC">
        <w:rPr>
          <w:rFonts w:ascii="Arial" w:hAnsi="Arial" w:cs="Arial"/>
          <w:bCs/>
          <w:iCs/>
          <w:sz w:val="24"/>
          <w:szCs w:val="24"/>
          <w:lang w:val="en-GB"/>
        </w:rPr>
        <w:t xml:space="preserve">with </w:t>
      </w:r>
      <w:r w:rsidR="00930EFF" w:rsidRPr="00C926EC">
        <w:rPr>
          <w:rFonts w:ascii="Arial" w:hAnsi="Arial" w:cs="Arial"/>
          <w:bCs/>
          <w:iCs/>
          <w:sz w:val="24"/>
          <w:szCs w:val="24"/>
          <w:lang w:val="en-GB"/>
        </w:rPr>
        <w:t xml:space="preserve">a </w:t>
      </w:r>
      <w:proofErr w:type="gramStart"/>
      <w:r w:rsidR="00AB7D6E" w:rsidRPr="00C926EC">
        <w:rPr>
          <w:rFonts w:ascii="Arial" w:hAnsi="Arial" w:cs="Arial"/>
          <w:bCs/>
          <w:iCs/>
          <w:sz w:val="24"/>
          <w:szCs w:val="24"/>
          <w:lang w:val="en-GB"/>
        </w:rPr>
        <w:t>significant  tax</w:t>
      </w:r>
      <w:proofErr w:type="gramEnd"/>
      <w:r w:rsidR="00AB7D6E" w:rsidRPr="00C926EC">
        <w:rPr>
          <w:rFonts w:ascii="Arial" w:hAnsi="Arial" w:cs="Arial"/>
          <w:bCs/>
          <w:iCs/>
          <w:sz w:val="24"/>
          <w:szCs w:val="24"/>
          <w:lang w:val="en-GB"/>
        </w:rPr>
        <w:t xml:space="preserve"> (carbon tax) per tonne of</w:t>
      </w:r>
      <w:r w:rsidR="00930EFF" w:rsidRPr="00C926EC">
        <w:rPr>
          <w:rFonts w:ascii="Arial" w:hAnsi="Arial" w:cs="Arial"/>
          <w:bCs/>
          <w:iCs/>
          <w:sz w:val="24"/>
          <w:szCs w:val="24"/>
          <w:lang w:val="en-GB"/>
        </w:rPr>
        <w:t xml:space="preserve"> CO</w:t>
      </w:r>
      <w:r w:rsidR="00930EFF" w:rsidRPr="00C926EC">
        <w:rPr>
          <w:rFonts w:ascii="Arial" w:hAnsi="Arial" w:cs="Arial"/>
          <w:bCs/>
          <w:iCs/>
          <w:sz w:val="24"/>
          <w:szCs w:val="24"/>
          <w:vertAlign w:val="subscript"/>
          <w:lang w:val="en-GB"/>
        </w:rPr>
        <w:t>2</w:t>
      </w:r>
      <w:r w:rsidR="00930EFF" w:rsidRPr="00C926EC">
        <w:rPr>
          <w:rFonts w:ascii="Arial" w:hAnsi="Arial" w:cs="Arial"/>
          <w:bCs/>
          <w:iCs/>
          <w:sz w:val="24"/>
          <w:szCs w:val="24"/>
          <w:lang w:val="en-GB"/>
        </w:rPr>
        <w:t xml:space="preserve"> emitted. Currently, this </w:t>
      </w:r>
      <w:r w:rsidR="007843A0" w:rsidRPr="00C926EC">
        <w:rPr>
          <w:rFonts w:ascii="Arial" w:hAnsi="Arial" w:cs="Arial"/>
          <w:bCs/>
          <w:iCs/>
          <w:sz w:val="24"/>
          <w:szCs w:val="24"/>
          <w:lang w:val="en-GB"/>
        </w:rPr>
        <w:t>tax</w:t>
      </w:r>
      <w:r w:rsidR="00930EFF" w:rsidRPr="00C926EC">
        <w:rPr>
          <w:rFonts w:ascii="Arial" w:hAnsi="Arial" w:cs="Arial"/>
          <w:bCs/>
          <w:iCs/>
          <w:sz w:val="24"/>
          <w:szCs w:val="24"/>
          <w:lang w:val="en-GB"/>
        </w:rPr>
        <w:t xml:space="preserve"> is 24.6 €/tonne of CO</w:t>
      </w:r>
      <w:r w:rsidR="00930EFF" w:rsidRPr="00C926EC">
        <w:rPr>
          <w:rFonts w:ascii="Arial" w:hAnsi="Arial" w:cs="Arial"/>
          <w:bCs/>
          <w:iCs/>
          <w:sz w:val="24"/>
          <w:szCs w:val="24"/>
          <w:vertAlign w:val="subscript"/>
          <w:lang w:val="en-GB"/>
        </w:rPr>
        <w:t>2</w:t>
      </w:r>
      <w:r w:rsidR="00930EFF" w:rsidRPr="00C926EC">
        <w:rPr>
          <w:rFonts w:ascii="Arial" w:hAnsi="Arial" w:cs="Arial"/>
          <w:bCs/>
          <w:iCs/>
          <w:sz w:val="24"/>
          <w:szCs w:val="24"/>
          <w:lang w:val="en-GB"/>
        </w:rPr>
        <w:t xml:space="preserve"> emitted</w:t>
      </w:r>
      <w:r w:rsidR="001A7284" w:rsidRPr="00C926EC">
        <w:rPr>
          <w:rFonts w:ascii="Arial" w:hAnsi="Arial" w:cs="Arial"/>
          <w:bCs/>
          <w:iCs/>
          <w:sz w:val="24"/>
          <w:szCs w:val="24"/>
          <w:lang w:val="en-GB"/>
        </w:rPr>
        <w:t xml:space="preserve"> </w:t>
      </w:r>
      <w:r w:rsidR="001A7284" w:rsidRPr="00C926EC">
        <w:rPr>
          <w:rFonts w:ascii="Arial" w:hAnsi="Arial" w:cs="Arial"/>
          <w:sz w:val="24"/>
          <w:szCs w:val="24"/>
          <w:lang w:val="en-US"/>
        </w:rPr>
        <w:fldChar w:fldCharType="begin" w:fldLock="1"/>
      </w:r>
      <w:r w:rsidR="00F8432F" w:rsidRPr="00C926EC">
        <w:rPr>
          <w:rFonts w:ascii="Arial" w:hAnsi="Arial" w:cs="Arial"/>
          <w:sz w:val="24"/>
          <w:szCs w:val="24"/>
          <w:lang w:val="en-US"/>
        </w:rPr>
        <w:instrText>ADDIN CSL_CITATION {"citationItems":[{"id":"ITEM-1","itemData":{"author":[{"dropping-particle":"","family":"Sandbag","given":"","non-dropping-particle":"","parse-names":false,"suffix":""}],"id":"ITEM-1","issued":{"date-parts":[["2020"]]},"title":"Sandbag - Smarter Climate Policy","type":"webpage"},"uris":["http://www.mendeley.com/documents/?uuid=a1a71d33-61b0-4846-be5f-6fd8b07d4fc5","http://www.mendeley.com/documents/?uuid=1350be2f-1fdc-4cc4-8019-84a72e6fda77","http://www.mendeley.com/documents/?uuid=971082a6-5b4c-4d47-92c9-78639b522f9e"]},{"id":"ITEM-2","itemData":{"author":[{"dropping-particle":"","family":"UK Investing","given":"","non-dropping-particle":"","parse-names":false,"suffix":""}],"id":"ITEM-2","issued":{"date-parts":[["2020"]]},"title":"Carbon emissions prices UK","type":"webpage"},"uris":["http://www.mendeley.com/documents/?uuid=ac9c6cfa-3445-449d-8b11-43a1cbdd0cef","http://www.mendeley.com/documents/?uuid=8b6cd3b3-bfcc-43c0-87c9-4436c358d285","http://www.mendeley.com/documents/?uuid=ff3f2d66-a848-415c-a57c-ba9bbaa5d2e6"]},{"id":"ITEM-3","itemData":{"author":[{"dropping-particle":"","family":"Theice","given":"","non-dropping-particle":"","parse-names":false,"suffix":""}],"id":"ITEM-3","issued":{"date-parts":[["2020"]]},"title":"Theice EUA carbon prices","type":"webpage"},"uris":["http://www.mendeley.com/documents/?uuid=a7960c12-0147-42bc-87da-6e22bcf0cf2b","http://www.mendeley.com/documents/?uuid=0d090440-6019-4c16-ab4f-57ad72317522","http://www.mendeley.com/documents/?uuid=5d4fc5d2-f04a-454d-958b-03e893399145"]}],"mendeley":{"formattedCitation":"(Sandbag, 2020; Theice, 2020; UK Investing, 2020)","plainTextFormattedCitation":"(Sandbag, 2020; Theice, 2020; UK Investing, 2020)","previouslyFormattedCitation":"(Sandbag, 2020; Theice, 2020; UK Investing, 2020)"},"properties":{"noteIndex":0},"schema":"https://github.com/citation-style-language/schema/raw/master/csl-citation.json"}</w:instrText>
      </w:r>
      <w:r w:rsidR="001A7284" w:rsidRPr="00C926EC">
        <w:rPr>
          <w:rFonts w:ascii="Arial" w:hAnsi="Arial" w:cs="Arial"/>
          <w:sz w:val="24"/>
          <w:szCs w:val="24"/>
          <w:lang w:val="en-US"/>
        </w:rPr>
        <w:fldChar w:fldCharType="separate"/>
      </w:r>
      <w:r w:rsidR="00F8432F" w:rsidRPr="00C926EC">
        <w:rPr>
          <w:rFonts w:ascii="Arial" w:hAnsi="Arial" w:cs="Arial"/>
          <w:noProof/>
          <w:sz w:val="24"/>
          <w:szCs w:val="24"/>
          <w:lang w:val="en-US"/>
        </w:rPr>
        <w:t>(Sandbag, 2020; Theice, 2020; UK Investing, 2020)</w:t>
      </w:r>
      <w:r w:rsidR="001A7284" w:rsidRPr="00C926EC">
        <w:rPr>
          <w:rFonts w:ascii="Arial" w:hAnsi="Arial" w:cs="Arial"/>
          <w:sz w:val="24"/>
          <w:szCs w:val="24"/>
          <w:lang w:val="en-US"/>
        </w:rPr>
        <w:fldChar w:fldCharType="end"/>
      </w:r>
      <w:r w:rsidR="00930EFF" w:rsidRPr="00C926EC">
        <w:rPr>
          <w:rFonts w:ascii="Arial" w:hAnsi="Arial" w:cs="Arial"/>
          <w:bCs/>
          <w:iCs/>
          <w:sz w:val="24"/>
          <w:szCs w:val="24"/>
          <w:lang w:val="en-GB"/>
        </w:rPr>
        <w:t xml:space="preserve">. </w:t>
      </w:r>
      <w:r w:rsidR="00AB7D6E" w:rsidRPr="00C926EC">
        <w:rPr>
          <w:rFonts w:ascii="Arial" w:hAnsi="Arial" w:cs="Arial"/>
          <w:bCs/>
          <w:iCs/>
          <w:sz w:val="24"/>
          <w:szCs w:val="24"/>
          <w:lang w:val="en-GB"/>
        </w:rPr>
        <w:t xml:space="preserve">Upon increasing </w:t>
      </w:r>
      <w:r w:rsidR="00B91AA9" w:rsidRPr="00C926EC">
        <w:rPr>
          <w:rFonts w:ascii="Arial" w:hAnsi="Arial" w:cs="Arial"/>
          <w:bCs/>
          <w:iCs/>
          <w:sz w:val="24"/>
          <w:szCs w:val="24"/>
          <w:lang w:val="en-GB"/>
        </w:rPr>
        <w:t xml:space="preserve">the </w:t>
      </w:r>
      <w:r w:rsidR="00AB7D6E" w:rsidRPr="00C926EC">
        <w:rPr>
          <w:rFonts w:ascii="Arial" w:hAnsi="Arial" w:cs="Arial"/>
          <w:bCs/>
          <w:iCs/>
          <w:sz w:val="24"/>
          <w:szCs w:val="24"/>
          <w:lang w:val="en-GB"/>
        </w:rPr>
        <w:t>carbon tax</w:t>
      </w:r>
      <w:r w:rsidR="00930EFF" w:rsidRPr="00C926EC">
        <w:rPr>
          <w:rFonts w:ascii="Arial" w:hAnsi="Arial" w:cs="Arial"/>
          <w:bCs/>
          <w:iCs/>
          <w:sz w:val="24"/>
          <w:szCs w:val="24"/>
          <w:lang w:val="en-GB"/>
        </w:rPr>
        <w:t xml:space="preserve">, biomethane </w:t>
      </w:r>
      <w:r w:rsidR="00C1207E" w:rsidRPr="00C926EC">
        <w:rPr>
          <w:rFonts w:ascii="Arial" w:hAnsi="Arial" w:cs="Arial"/>
          <w:bCs/>
          <w:iCs/>
          <w:sz w:val="24"/>
          <w:szCs w:val="24"/>
          <w:lang w:val="en-GB"/>
        </w:rPr>
        <w:t>becomes a</w:t>
      </w:r>
      <w:r w:rsidR="00930EFF" w:rsidRPr="00C926EC">
        <w:rPr>
          <w:rFonts w:ascii="Arial" w:hAnsi="Arial" w:cs="Arial"/>
          <w:bCs/>
          <w:iCs/>
          <w:sz w:val="24"/>
          <w:szCs w:val="24"/>
          <w:lang w:val="en-GB"/>
        </w:rPr>
        <w:t xml:space="preserve"> more interesting</w:t>
      </w:r>
      <w:r w:rsidR="00C1207E" w:rsidRPr="00C926EC">
        <w:rPr>
          <w:rFonts w:ascii="Arial" w:hAnsi="Arial" w:cs="Arial"/>
          <w:bCs/>
          <w:iCs/>
          <w:sz w:val="24"/>
          <w:szCs w:val="24"/>
          <w:lang w:val="en-GB"/>
        </w:rPr>
        <w:t xml:space="preserve"> fuel</w:t>
      </w:r>
      <w:r w:rsidR="00930EFF" w:rsidRPr="00C926EC">
        <w:rPr>
          <w:rFonts w:ascii="Arial" w:hAnsi="Arial" w:cs="Arial"/>
          <w:bCs/>
          <w:iCs/>
          <w:sz w:val="24"/>
          <w:szCs w:val="24"/>
          <w:lang w:val="en-GB"/>
        </w:rPr>
        <w:t xml:space="preserve"> from an economic perspective. Indeed, it is expected that CO</w:t>
      </w:r>
      <w:r w:rsidR="00930EFF" w:rsidRPr="00C926EC">
        <w:rPr>
          <w:rFonts w:ascii="Arial" w:hAnsi="Arial" w:cs="Arial"/>
          <w:bCs/>
          <w:iCs/>
          <w:sz w:val="24"/>
          <w:szCs w:val="24"/>
          <w:vertAlign w:val="subscript"/>
          <w:lang w:val="en-GB"/>
        </w:rPr>
        <w:t>2</w:t>
      </w:r>
      <w:r w:rsidR="00930EFF" w:rsidRPr="00C926EC">
        <w:rPr>
          <w:rFonts w:ascii="Arial" w:hAnsi="Arial" w:cs="Arial"/>
          <w:bCs/>
          <w:iCs/>
          <w:sz w:val="24"/>
          <w:szCs w:val="24"/>
          <w:lang w:val="en-GB"/>
        </w:rPr>
        <w:t xml:space="preserve"> </w:t>
      </w:r>
      <w:r w:rsidR="007843A0" w:rsidRPr="00C926EC">
        <w:rPr>
          <w:rFonts w:ascii="Arial" w:hAnsi="Arial" w:cs="Arial"/>
          <w:bCs/>
          <w:iCs/>
          <w:sz w:val="24"/>
          <w:szCs w:val="24"/>
          <w:lang w:val="en-GB"/>
        </w:rPr>
        <w:t>tax</w:t>
      </w:r>
      <w:r w:rsidR="00930EFF" w:rsidRPr="00C926EC">
        <w:rPr>
          <w:rFonts w:ascii="Arial" w:hAnsi="Arial" w:cs="Arial"/>
          <w:bCs/>
          <w:iCs/>
          <w:sz w:val="24"/>
          <w:szCs w:val="24"/>
          <w:lang w:val="en-GB"/>
        </w:rPr>
        <w:t xml:space="preserve"> </w:t>
      </w:r>
      <w:r w:rsidR="00B91AA9" w:rsidRPr="00C926EC">
        <w:rPr>
          <w:rFonts w:ascii="Arial" w:hAnsi="Arial" w:cs="Arial"/>
          <w:bCs/>
          <w:iCs/>
          <w:sz w:val="24"/>
          <w:szCs w:val="24"/>
          <w:lang w:val="en-GB"/>
        </w:rPr>
        <w:t xml:space="preserve">will </w:t>
      </w:r>
      <w:r w:rsidR="00930EFF" w:rsidRPr="00C926EC">
        <w:rPr>
          <w:rFonts w:ascii="Arial" w:hAnsi="Arial" w:cs="Arial"/>
          <w:bCs/>
          <w:iCs/>
          <w:sz w:val="24"/>
          <w:szCs w:val="24"/>
          <w:lang w:val="en-GB"/>
        </w:rPr>
        <w:t>reach 55 €/tonne of CO</w:t>
      </w:r>
      <w:r w:rsidR="00930EFF" w:rsidRPr="00C926EC">
        <w:rPr>
          <w:rFonts w:ascii="Arial" w:hAnsi="Arial" w:cs="Arial"/>
          <w:bCs/>
          <w:iCs/>
          <w:sz w:val="24"/>
          <w:szCs w:val="24"/>
          <w:vertAlign w:val="subscript"/>
          <w:lang w:val="en-GB"/>
        </w:rPr>
        <w:t>2</w:t>
      </w:r>
      <w:r w:rsidR="00930EFF" w:rsidRPr="00C926EC">
        <w:rPr>
          <w:rFonts w:ascii="Arial" w:hAnsi="Arial" w:cs="Arial"/>
          <w:bCs/>
          <w:iCs/>
          <w:sz w:val="24"/>
          <w:szCs w:val="24"/>
          <w:lang w:val="en-GB"/>
        </w:rPr>
        <w:t xml:space="preserve"> by 2030</w:t>
      </w:r>
      <w:r w:rsidR="001A7284" w:rsidRPr="00C926EC">
        <w:rPr>
          <w:rFonts w:ascii="Arial" w:hAnsi="Arial" w:cs="Arial"/>
          <w:bCs/>
          <w:iCs/>
          <w:sz w:val="24"/>
          <w:szCs w:val="24"/>
          <w:lang w:val="en-GB"/>
        </w:rPr>
        <w:t xml:space="preserve"> </w:t>
      </w:r>
      <w:r w:rsidR="001A7284" w:rsidRPr="00C926EC">
        <w:rPr>
          <w:rFonts w:ascii="Arial" w:hAnsi="Arial" w:cs="Arial"/>
          <w:sz w:val="24"/>
          <w:szCs w:val="24"/>
          <w:lang w:val="en-US"/>
        </w:rPr>
        <w:fldChar w:fldCharType="begin" w:fldLock="1"/>
      </w:r>
      <w:r w:rsidR="00F8432F" w:rsidRPr="00C926EC">
        <w:rPr>
          <w:rFonts w:ascii="Arial" w:hAnsi="Arial" w:cs="Arial"/>
          <w:sz w:val="24"/>
          <w:szCs w:val="24"/>
          <w:lang w:val="en-US"/>
        </w:rPr>
        <w:instrText>ADDIN CSL_CITATION {"citationItems":[{"id":"ITEM-1","itemData":{"URL":"https://www.carbontracker.org/eu-carbon-prices-could-double-by-2021-and-quadruple-by-2030/","author":[{"dropping-particle":"","family":"Carbontracker","given":"","non-dropping-particle":"","parse-names":false,"suffix":""}],"id":"ITEM-1","issued":{"date-parts":[["2018"]]},"title":"Potential future action to align EU emissions targets with Paris accord may render all coal and lignite plants unprofitable","type":"webpage"},"uris":["http://www.mendeley.com/documents/?uuid=98ba2d32-f00f-4f1b-98be-e13a1c93d094","http://www.mendeley.com/documents/?uuid=81868f6f-c470-4064-b644-ea8faee29e64"]}],"mendeley":{"formattedCitation":"(Carbontracker, 2018)","plainTextFormattedCitation":"(Carbontracker, 2018)","previouslyFormattedCitation":"(Carbontracker, 2018)"},"properties":{"noteIndex":0},"schema":"https://github.com/citation-style-language/schema/raw/master/csl-citation.json"}</w:instrText>
      </w:r>
      <w:r w:rsidR="001A7284" w:rsidRPr="00C926EC">
        <w:rPr>
          <w:rFonts w:ascii="Arial" w:hAnsi="Arial" w:cs="Arial"/>
          <w:sz w:val="24"/>
          <w:szCs w:val="24"/>
          <w:lang w:val="en-US"/>
        </w:rPr>
        <w:fldChar w:fldCharType="separate"/>
      </w:r>
      <w:r w:rsidR="00F8432F" w:rsidRPr="00C926EC">
        <w:rPr>
          <w:rFonts w:ascii="Arial" w:hAnsi="Arial" w:cs="Arial"/>
          <w:noProof/>
          <w:sz w:val="24"/>
          <w:szCs w:val="24"/>
          <w:lang w:val="en-US"/>
        </w:rPr>
        <w:t>(Carbontracker, 2018)</w:t>
      </w:r>
      <w:r w:rsidR="001A7284" w:rsidRPr="00C926EC">
        <w:rPr>
          <w:rFonts w:ascii="Arial" w:hAnsi="Arial" w:cs="Arial"/>
          <w:sz w:val="24"/>
          <w:szCs w:val="24"/>
          <w:lang w:val="en-US"/>
        </w:rPr>
        <w:fldChar w:fldCharType="end"/>
      </w:r>
      <w:r w:rsidR="00930EFF" w:rsidRPr="00C926EC">
        <w:rPr>
          <w:rFonts w:ascii="Arial" w:hAnsi="Arial" w:cs="Arial"/>
          <w:bCs/>
          <w:iCs/>
          <w:sz w:val="24"/>
          <w:szCs w:val="24"/>
          <w:lang w:val="en-GB"/>
        </w:rPr>
        <w:t xml:space="preserve">. </w:t>
      </w:r>
      <w:r w:rsidR="00BE0F78" w:rsidRPr="00C926EC">
        <w:rPr>
          <w:rFonts w:ascii="Arial" w:hAnsi="Arial" w:cs="Arial"/>
          <w:bCs/>
          <w:iCs/>
          <w:sz w:val="24"/>
          <w:szCs w:val="24"/>
          <w:lang w:val="en-GB"/>
        </w:rPr>
        <w:t xml:space="preserve">Considering this </w:t>
      </w:r>
      <w:r w:rsidR="00C6226C" w:rsidRPr="00C926EC">
        <w:rPr>
          <w:rFonts w:ascii="Arial" w:hAnsi="Arial" w:cs="Arial"/>
          <w:bCs/>
          <w:iCs/>
          <w:sz w:val="24"/>
          <w:szCs w:val="24"/>
          <w:lang w:val="en-GB"/>
        </w:rPr>
        <w:t>forecast</w:t>
      </w:r>
      <w:r w:rsidR="00930EFF" w:rsidRPr="00C926EC">
        <w:rPr>
          <w:rFonts w:ascii="Arial" w:hAnsi="Arial" w:cs="Arial"/>
          <w:bCs/>
          <w:iCs/>
          <w:sz w:val="24"/>
          <w:szCs w:val="24"/>
          <w:lang w:val="en-GB"/>
        </w:rPr>
        <w:t>, we have explored the CO</w:t>
      </w:r>
      <w:r w:rsidR="00930EFF" w:rsidRPr="00C926EC">
        <w:rPr>
          <w:rFonts w:ascii="Arial" w:hAnsi="Arial" w:cs="Arial"/>
          <w:bCs/>
          <w:iCs/>
          <w:sz w:val="24"/>
          <w:szCs w:val="24"/>
          <w:vertAlign w:val="subscript"/>
          <w:lang w:val="en-GB"/>
        </w:rPr>
        <w:t>2</w:t>
      </w:r>
      <w:r w:rsidR="00930EFF" w:rsidRPr="00C926EC">
        <w:rPr>
          <w:rFonts w:ascii="Arial" w:hAnsi="Arial" w:cs="Arial"/>
          <w:bCs/>
          <w:iCs/>
          <w:sz w:val="24"/>
          <w:szCs w:val="24"/>
          <w:lang w:val="en-GB"/>
        </w:rPr>
        <w:t xml:space="preserve"> penalties needed to </w:t>
      </w:r>
      <w:r w:rsidR="00C6226C" w:rsidRPr="00C926EC">
        <w:rPr>
          <w:rFonts w:ascii="Arial" w:hAnsi="Arial" w:cs="Arial"/>
          <w:bCs/>
          <w:iCs/>
          <w:sz w:val="24"/>
          <w:szCs w:val="24"/>
          <w:lang w:val="en-GB"/>
        </w:rPr>
        <w:t>reach profitable scenarios</w:t>
      </w:r>
      <w:r w:rsidR="00930EFF" w:rsidRPr="00C926EC">
        <w:rPr>
          <w:rFonts w:ascii="Arial" w:hAnsi="Arial" w:cs="Arial"/>
          <w:bCs/>
          <w:iCs/>
          <w:sz w:val="24"/>
          <w:szCs w:val="24"/>
          <w:lang w:val="en-GB"/>
        </w:rPr>
        <w:t>. The analysis has been performed for all the cases collected in the baseline scenario.</w:t>
      </w:r>
      <w:r w:rsidR="00930EFF" w:rsidRPr="00C926EC">
        <w:rPr>
          <w:sz w:val="24"/>
          <w:szCs w:val="24"/>
          <w:lang w:val="en-US"/>
        </w:rPr>
        <w:t xml:space="preserve"> </w:t>
      </w:r>
      <w:r w:rsidR="00930EFF" w:rsidRPr="00C926EC">
        <w:rPr>
          <w:rFonts w:ascii="Arial" w:hAnsi="Arial" w:cs="Arial"/>
          <w:bCs/>
          <w:iCs/>
          <w:sz w:val="24"/>
          <w:szCs w:val="24"/>
          <w:lang w:val="en-GB"/>
        </w:rPr>
        <w:t xml:space="preserve">Figure </w:t>
      </w:r>
      <w:r w:rsidR="007E0C6D" w:rsidRPr="00C926EC">
        <w:rPr>
          <w:rFonts w:ascii="Arial" w:hAnsi="Arial" w:cs="Arial"/>
          <w:bCs/>
          <w:iCs/>
          <w:sz w:val="24"/>
          <w:szCs w:val="24"/>
          <w:lang w:val="en-GB"/>
        </w:rPr>
        <w:t>4</w:t>
      </w:r>
      <w:r w:rsidR="00655F74" w:rsidRPr="00C926EC">
        <w:rPr>
          <w:rFonts w:ascii="Arial" w:hAnsi="Arial" w:cs="Arial"/>
          <w:bCs/>
          <w:iCs/>
          <w:sz w:val="24"/>
          <w:szCs w:val="24"/>
          <w:lang w:val="en-GB"/>
        </w:rPr>
        <w:t>.A</w:t>
      </w:r>
      <w:r w:rsidR="00930EFF" w:rsidRPr="00C926EC">
        <w:rPr>
          <w:rFonts w:ascii="Arial" w:hAnsi="Arial" w:cs="Arial"/>
          <w:bCs/>
          <w:iCs/>
          <w:sz w:val="24"/>
          <w:szCs w:val="24"/>
          <w:lang w:val="en-GB"/>
        </w:rPr>
        <w:t xml:space="preserve"> represents the CO</w:t>
      </w:r>
      <w:r w:rsidR="00930EFF" w:rsidRPr="00C926EC">
        <w:rPr>
          <w:rFonts w:ascii="Arial" w:hAnsi="Arial" w:cs="Arial"/>
          <w:bCs/>
          <w:iCs/>
          <w:sz w:val="24"/>
          <w:szCs w:val="24"/>
          <w:vertAlign w:val="subscript"/>
          <w:lang w:val="en-GB"/>
        </w:rPr>
        <w:t>2</w:t>
      </w:r>
      <w:r w:rsidR="00930EFF" w:rsidRPr="00C926EC">
        <w:rPr>
          <w:rFonts w:ascii="Arial" w:hAnsi="Arial" w:cs="Arial"/>
          <w:bCs/>
          <w:iCs/>
          <w:sz w:val="24"/>
          <w:szCs w:val="24"/>
          <w:lang w:val="en-GB"/>
        </w:rPr>
        <w:t xml:space="preserve"> penalties needed to reach profitability</w:t>
      </w:r>
      <w:r w:rsidR="00122FD0" w:rsidRPr="00C926EC">
        <w:rPr>
          <w:rFonts w:ascii="Arial" w:hAnsi="Arial" w:cs="Arial"/>
          <w:bCs/>
          <w:iCs/>
          <w:sz w:val="24"/>
          <w:szCs w:val="24"/>
          <w:lang w:val="en-GB"/>
        </w:rPr>
        <w:t xml:space="preserve"> (NPV equal to zero)</w:t>
      </w:r>
      <w:r w:rsidR="00930EFF" w:rsidRPr="00C926EC">
        <w:rPr>
          <w:rFonts w:ascii="Arial" w:hAnsi="Arial" w:cs="Arial"/>
          <w:bCs/>
          <w:iCs/>
          <w:sz w:val="24"/>
          <w:szCs w:val="24"/>
          <w:lang w:val="en-GB"/>
        </w:rPr>
        <w:t xml:space="preserve">. As shown, in the </w:t>
      </w:r>
      <w:proofErr w:type="gramStart"/>
      <w:r w:rsidR="00930EFF" w:rsidRPr="00C926EC">
        <w:rPr>
          <w:rFonts w:ascii="Arial" w:hAnsi="Arial" w:cs="Arial"/>
          <w:bCs/>
          <w:iCs/>
          <w:sz w:val="24"/>
          <w:szCs w:val="24"/>
          <w:lang w:val="en-GB"/>
        </w:rPr>
        <w:t>best case</w:t>
      </w:r>
      <w:proofErr w:type="gramEnd"/>
      <w:r w:rsidR="00930EFF" w:rsidRPr="00C926EC">
        <w:rPr>
          <w:rFonts w:ascii="Arial" w:hAnsi="Arial" w:cs="Arial"/>
          <w:bCs/>
          <w:iCs/>
          <w:sz w:val="24"/>
          <w:szCs w:val="24"/>
          <w:lang w:val="en-GB"/>
        </w:rPr>
        <w:t xml:space="preserve"> scenario (182 m</w:t>
      </w:r>
      <w:r w:rsidR="00930EFF" w:rsidRPr="00C926EC">
        <w:rPr>
          <w:rFonts w:ascii="Arial" w:hAnsi="Arial" w:cs="Arial"/>
          <w:bCs/>
          <w:iCs/>
          <w:sz w:val="24"/>
          <w:szCs w:val="24"/>
          <w:vertAlign w:val="superscript"/>
          <w:lang w:val="en-GB"/>
        </w:rPr>
        <w:t>3</w:t>
      </w:r>
      <w:r w:rsidR="00930EFF" w:rsidRPr="00C926EC">
        <w:rPr>
          <w:rFonts w:ascii="Arial" w:hAnsi="Arial" w:cs="Arial"/>
          <w:bCs/>
          <w:iCs/>
          <w:sz w:val="24"/>
          <w:szCs w:val="24"/>
          <w:lang w:val="en-GB"/>
        </w:rPr>
        <w:t xml:space="preserve">/h </w:t>
      </w:r>
      <w:r w:rsidR="00930EFF" w:rsidRPr="00C926EC">
        <w:rPr>
          <w:rFonts w:ascii="Arial" w:hAnsi="Arial" w:cs="Arial"/>
          <w:bCs/>
          <w:iCs/>
          <w:sz w:val="24"/>
          <w:szCs w:val="24"/>
          <w:lang w:val="en-GB"/>
        </w:rPr>
        <w:lastRenderedPageBreak/>
        <w:t>biogas plant and considering only upgrading stage), CO</w:t>
      </w:r>
      <w:r w:rsidR="00930EFF" w:rsidRPr="00C926EC">
        <w:rPr>
          <w:rFonts w:ascii="Arial" w:hAnsi="Arial" w:cs="Arial"/>
          <w:bCs/>
          <w:iCs/>
          <w:sz w:val="24"/>
          <w:szCs w:val="24"/>
          <w:vertAlign w:val="subscript"/>
          <w:lang w:val="en-GB"/>
        </w:rPr>
        <w:t>2</w:t>
      </w:r>
      <w:r w:rsidR="00930EFF" w:rsidRPr="00C926EC">
        <w:rPr>
          <w:rFonts w:ascii="Arial" w:hAnsi="Arial" w:cs="Arial"/>
          <w:bCs/>
          <w:iCs/>
          <w:sz w:val="24"/>
          <w:szCs w:val="24"/>
          <w:lang w:val="en-GB"/>
        </w:rPr>
        <w:t xml:space="preserve"> </w:t>
      </w:r>
      <w:r w:rsidR="00B968A4" w:rsidRPr="00C926EC">
        <w:rPr>
          <w:rFonts w:ascii="Arial" w:hAnsi="Arial" w:cs="Arial"/>
          <w:bCs/>
          <w:iCs/>
          <w:sz w:val="24"/>
          <w:szCs w:val="24"/>
          <w:lang w:val="en-GB"/>
        </w:rPr>
        <w:t xml:space="preserve">tax </w:t>
      </w:r>
      <w:r w:rsidR="00930EFF" w:rsidRPr="00C926EC">
        <w:rPr>
          <w:rFonts w:ascii="Arial" w:hAnsi="Arial" w:cs="Arial"/>
          <w:bCs/>
          <w:iCs/>
          <w:sz w:val="24"/>
          <w:szCs w:val="24"/>
          <w:lang w:val="en-GB"/>
        </w:rPr>
        <w:t xml:space="preserve">should be as high as 174.65 €/tonne. This value is seven times greater than the current </w:t>
      </w:r>
      <w:r w:rsidR="00B968A4" w:rsidRPr="00C926EC">
        <w:rPr>
          <w:rFonts w:ascii="Arial" w:hAnsi="Arial" w:cs="Arial"/>
          <w:bCs/>
          <w:iCs/>
          <w:sz w:val="24"/>
          <w:szCs w:val="24"/>
          <w:lang w:val="en-GB"/>
        </w:rPr>
        <w:t>tax</w:t>
      </w:r>
      <w:r w:rsidR="00930EFF" w:rsidRPr="00C926EC">
        <w:rPr>
          <w:rFonts w:ascii="Arial" w:hAnsi="Arial" w:cs="Arial"/>
          <w:bCs/>
          <w:iCs/>
          <w:sz w:val="24"/>
          <w:szCs w:val="24"/>
          <w:lang w:val="en-GB"/>
        </w:rPr>
        <w:t xml:space="preserve"> and three times greater than the forecasted values for 2030.</w:t>
      </w:r>
      <w:r w:rsidR="00D607C6" w:rsidRPr="00C926EC">
        <w:rPr>
          <w:rFonts w:ascii="Arial" w:hAnsi="Arial" w:cs="Arial"/>
          <w:bCs/>
          <w:iCs/>
          <w:sz w:val="24"/>
          <w:szCs w:val="24"/>
          <w:lang w:val="en-GB"/>
        </w:rPr>
        <w:t xml:space="preserve"> Question is, would this value be close to the actual figure in 2050 when net-zero emissions are meant to be mandatory in Europe and the UK? In any case,</w:t>
      </w:r>
      <w:r w:rsidR="00930EFF" w:rsidRPr="00C926EC">
        <w:rPr>
          <w:rFonts w:ascii="Arial" w:hAnsi="Arial" w:cs="Arial"/>
          <w:bCs/>
          <w:iCs/>
          <w:sz w:val="24"/>
          <w:szCs w:val="24"/>
          <w:lang w:val="en-GB"/>
        </w:rPr>
        <w:t xml:space="preserve"> </w:t>
      </w:r>
      <w:r w:rsidR="00D607C6" w:rsidRPr="00C926EC">
        <w:rPr>
          <w:rFonts w:ascii="Arial" w:hAnsi="Arial" w:cs="Arial"/>
          <w:bCs/>
          <w:iCs/>
          <w:sz w:val="24"/>
          <w:szCs w:val="24"/>
          <w:lang w:val="en-GB"/>
        </w:rPr>
        <w:t>t</w:t>
      </w:r>
      <w:r w:rsidR="00930EFF" w:rsidRPr="00C926EC">
        <w:rPr>
          <w:rFonts w:ascii="Arial" w:hAnsi="Arial" w:cs="Arial"/>
          <w:bCs/>
          <w:iCs/>
          <w:sz w:val="24"/>
          <w:szCs w:val="24"/>
          <w:lang w:val="en-GB"/>
        </w:rPr>
        <w:t xml:space="preserve">his fact reveals the lack of competitiveness of renewable sources </w:t>
      </w:r>
      <w:r w:rsidR="00D607C6" w:rsidRPr="00C926EC">
        <w:rPr>
          <w:rFonts w:ascii="Arial" w:hAnsi="Arial" w:cs="Arial"/>
          <w:bCs/>
          <w:iCs/>
          <w:sz w:val="24"/>
          <w:szCs w:val="24"/>
          <w:lang w:val="en-GB"/>
        </w:rPr>
        <w:t>under the present circumstances when compared to a</w:t>
      </w:r>
      <w:r w:rsidR="00930EFF" w:rsidRPr="00C926EC">
        <w:rPr>
          <w:rFonts w:ascii="Arial" w:hAnsi="Arial" w:cs="Arial"/>
          <w:bCs/>
          <w:iCs/>
          <w:sz w:val="24"/>
          <w:szCs w:val="24"/>
          <w:lang w:val="en-GB"/>
        </w:rPr>
        <w:t xml:space="preserve"> combination of traditional fuels </w:t>
      </w:r>
      <w:r w:rsidR="00D607C6" w:rsidRPr="00C926EC">
        <w:rPr>
          <w:rFonts w:ascii="Arial" w:hAnsi="Arial" w:cs="Arial"/>
          <w:bCs/>
          <w:iCs/>
          <w:sz w:val="24"/>
          <w:szCs w:val="24"/>
          <w:lang w:val="en-GB"/>
        </w:rPr>
        <w:t>plus current</w:t>
      </w:r>
      <w:r w:rsidR="00930EFF" w:rsidRPr="00C926EC">
        <w:rPr>
          <w:rFonts w:ascii="Arial" w:hAnsi="Arial" w:cs="Arial"/>
          <w:bCs/>
          <w:iCs/>
          <w:sz w:val="24"/>
          <w:szCs w:val="24"/>
          <w:lang w:val="en-GB"/>
        </w:rPr>
        <w:t xml:space="preserve"> CO</w:t>
      </w:r>
      <w:r w:rsidR="00930EFF" w:rsidRPr="00C926EC">
        <w:rPr>
          <w:rFonts w:ascii="Arial" w:hAnsi="Arial" w:cs="Arial"/>
          <w:bCs/>
          <w:iCs/>
          <w:sz w:val="24"/>
          <w:szCs w:val="24"/>
          <w:vertAlign w:val="subscript"/>
          <w:lang w:val="en-GB"/>
        </w:rPr>
        <w:t>2</w:t>
      </w:r>
      <w:r w:rsidR="00C5251A" w:rsidRPr="00C926EC">
        <w:rPr>
          <w:rFonts w:ascii="Arial" w:hAnsi="Arial" w:cs="Arial"/>
          <w:bCs/>
          <w:iCs/>
          <w:sz w:val="24"/>
          <w:szCs w:val="24"/>
          <w:lang w:val="en-GB"/>
        </w:rPr>
        <w:t xml:space="preserve"> penalties. Based on these results, </w:t>
      </w:r>
      <w:r w:rsidR="00D607C6" w:rsidRPr="00C926EC">
        <w:rPr>
          <w:rFonts w:ascii="Arial" w:hAnsi="Arial" w:cs="Arial"/>
          <w:bCs/>
          <w:iCs/>
          <w:sz w:val="24"/>
          <w:szCs w:val="24"/>
          <w:lang w:val="en-GB"/>
        </w:rPr>
        <w:t>it is evident</w:t>
      </w:r>
      <w:r w:rsidR="00C5251A" w:rsidRPr="00C926EC">
        <w:rPr>
          <w:rFonts w:ascii="Arial" w:hAnsi="Arial" w:cs="Arial"/>
          <w:bCs/>
          <w:iCs/>
          <w:sz w:val="24"/>
          <w:szCs w:val="24"/>
          <w:lang w:val="en-GB"/>
        </w:rPr>
        <w:t xml:space="preserve"> that a </w:t>
      </w:r>
      <w:r w:rsidR="00D607C6" w:rsidRPr="00C926EC">
        <w:rPr>
          <w:rFonts w:ascii="Arial" w:hAnsi="Arial" w:cs="Arial"/>
          <w:bCs/>
          <w:iCs/>
          <w:sz w:val="24"/>
          <w:szCs w:val="24"/>
          <w:lang w:val="en-GB"/>
        </w:rPr>
        <w:t xml:space="preserve">radical </w:t>
      </w:r>
      <w:r w:rsidR="00C5251A" w:rsidRPr="00C926EC">
        <w:rPr>
          <w:rFonts w:ascii="Arial" w:hAnsi="Arial" w:cs="Arial"/>
          <w:bCs/>
          <w:iCs/>
          <w:sz w:val="24"/>
          <w:szCs w:val="24"/>
          <w:lang w:val="en-GB"/>
        </w:rPr>
        <w:t xml:space="preserve">change of the current fuel paradigm is needed to </w:t>
      </w:r>
      <w:r w:rsidR="00D607C6" w:rsidRPr="00C926EC">
        <w:rPr>
          <w:rFonts w:ascii="Arial" w:hAnsi="Arial" w:cs="Arial"/>
          <w:bCs/>
          <w:iCs/>
          <w:sz w:val="24"/>
          <w:szCs w:val="24"/>
          <w:lang w:val="en-GB"/>
        </w:rPr>
        <w:t xml:space="preserve">step ahead </w:t>
      </w:r>
      <w:r w:rsidR="00C5251A" w:rsidRPr="00C926EC">
        <w:rPr>
          <w:rFonts w:ascii="Arial" w:hAnsi="Arial" w:cs="Arial"/>
          <w:bCs/>
          <w:iCs/>
          <w:sz w:val="24"/>
          <w:szCs w:val="24"/>
          <w:lang w:val="en-GB"/>
        </w:rPr>
        <w:t xml:space="preserve">towards </w:t>
      </w:r>
      <w:r w:rsidR="009861E9" w:rsidRPr="00C926EC">
        <w:rPr>
          <w:rFonts w:ascii="Arial" w:hAnsi="Arial" w:cs="Arial"/>
          <w:bCs/>
          <w:iCs/>
          <w:sz w:val="24"/>
          <w:szCs w:val="24"/>
          <w:lang w:val="en-GB"/>
        </w:rPr>
        <w:t xml:space="preserve">a </w:t>
      </w:r>
      <w:r w:rsidR="00C5251A" w:rsidRPr="00C926EC">
        <w:rPr>
          <w:rFonts w:ascii="Arial" w:hAnsi="Arial" w:cs="Arial"/>
          <w:bCs/>
          <w:iCs/>
          <w:sz w:val="24"/>
          <w:szCs w:val="24"/>
          <w:lang w:val="en-GB"/>
        </w:rPr>
        <w:t xml:space="preserve">bio-based </w:t>
      </w:r>
      <w:r w:rsidR="009861E9" w:rsidRPr="00C926EC">
        <w:rPr>
          <w:rFonts w:ascii="Arial" w:hAnsi="Arial" w:cs="Arial"/>
          <w:bCs/>
          <w:iCs/>
          <w:sz w:val="24"/>
          <w:szCs w:val="24"/>
          <w:lang w:val="en-GB"/>
        </w:rPr>
        <w:t>marine transport</w:t>
      </w:r>
      <w:r w:rsidR="00C5251A" w:rsidRPr="00C926EC">
        <w:rPr>
          <w:rFonts w:ascii="Arial" w:hAnsi="Arial" w:cs="Arial"/>
          <w:bCs/>
          <w:iCs/>
          <w:sz w:val="24"/>
          <w:szCs w:val="24"/>
          <w:lang w:val="en-GB"/>
        </w:rPr>
        <w:t xml:space="preserve">. </w:t>
      </w:r>
    </w:p>
    <w:p w14:paraId="3E51BAFB" w14:textId="43692F39" w:rsidR="00B75D37" w:rsidRPr="00C926EC" w:rsidRDefault="00E87873" w:rsidP="00B75D37">
      <w:pPr>
        <w:spacing w:line="480" w:lineRule="auto"/>
        <w:jc w:val="both"/>
        <w:rPr>
          <w:rFonts w:ascii="Arial" w:hAnsi="Arial" w:cs="Arial"/>
          <w:bCs/>
          <w:iCs/>
          <w:sz w:val="24"/>
          <w:szCs w:val="24"/>
          <w:lang w:val="en-US"/>
        </w:rPr>
      </w:pPr>
      <w:r w:rsidRPr="00C926EC">
        <w:rPr>
          <w:rFonts w:ascii="Arial" w:hAnsi="Arial" w:cs="Arial"/>
          <w:bCs/>
          <w:iCs/>
          <w:sz w:val="24"/>
          <w:szCs w:val="24"/>
          <w:lang w:val="en-GB"/>
        </w:rPr>
        <w:t xml:space="preserve">Once the alternatives to increase revenues have been </w:t>
      </w:r>
      <w:proofErr w:type="spellStart"/>
      <w:r w:rsidR="00927E5E" w:rsidRPr="00C926EC">
        <w:rPr>
          <w:rFonts w:ascii="Arial" w:hAnsi="Arial" w:cs="Arial"/>
          <w:bCs/>
          <w:iCs/>
          <w:sz w:val="24"/>
          <w:szCs w:val="24"/>
          <w:lang w:val="en-GB"/>
        </w:rPr>
        <w:t>analyze</w:t>
      </w:r>
      <w:r w:rsidRPr="00C926EC">
        <w:rPr>
          <w:rFonts w:ascii="Arial" w:hAnsi="Arial" w:cs="Arial"/>
          <w:bCs/>
          <w:iCs/>
          <w:sz w:val="24"/>
          <w:szCs w:val="24"/>
          <w:lang w:val="en-GB"/>
        </w:rPr>
        <w:t>d</w:t>
      </w:r>
      <w:proofErr w:type="spellEnd"/>
      <w:r w:rsidRPr="00C926EC">
        <w:rPr>
          <w:rFonts w:ascii="Arial" w:hAnsi="Arial" w:cs="Arial"/>
          <w:bCs/>
          <w:iCs/>
          <w:sz w:val="24"/>
          <w:szCs w:val="24"/>
          <w:lang w:val="en-GB"/>
        </w:rPr>
        <w:t>, the next</w:t>
      </w:r>
      <w:r w:rsidR="009861E9" w:rsidRPr="00C926EC">
        <w:rPr>
          <w:rFonts w:ascii="Arial" w:hAnsi="Arial" w:cs="Arial"/>
          <w:bCs/>
          <w:iCs/>
          <w:sz w:val="24"/>
          <w:szCs w:val="24"/>
          <w:lang w:val="en-GB"/>
        </w:rPr>
        <w:t xml:space="preserve"> natural</w:t>
      </w:r>
      <w:r w:rsidRPr="00C926EC">
        <w:rPr>
          <w:rFonts w:ascii="Arial" w:hAnsi="Arial" w:cs="Arial"/>
          <w:bCs/>
          <w:iCs/>
          <w:sz w:val="24"/>
          <w:szCs w:val="24"/>
          <w:lang w:val="en-GB"/>
        </w:rPr>
        <w:t xml:space="preserve"> step </w:t>
      </w:r>
      <w:r w:rsidR="009861E9" w:rsidRPr="00C926EC">
        <w:rPr>
          <w:rFonts w:ascii="Arial" w:hAnsi="Arial" w:cs="Arial"/>
          <w:bCs/>
          <w:iCs/>
          <w:sz w:val="24"/>
          <w:szCs w:val="24"/>
          <w:lang w:val="en-GB"/>
        </w:rPr>
        <w:t xml:space="preserve">is to check </w:t>
      </w:r>
      <w:r w:rsidRPr="00C926EC">
        <w:rPr>
          <w:rFonts w:ascii="Arial" w:hAnsi="Arial" w:cs="Arial"/>
          <w:bCs/>
          <w:iCs/>
          <w:sz w:val="24"/>
          <w:szCs w:val="24"/>
          <w:lang w:val="en-GB"/>
        </w:rPr>
        <w:t xml:space="preserve">potential costs reductions. </w:t>
      </w:r>
      <w:r w:rsidR="00163C08" w:rsidRPr="00C926EC">
        <w:rPr>
          <w:rFonts w:ascii="Arial" w:hAnsi="Arial" w:cs="Arial"/>
          <w:bCs/>
          <w:iCs/>
          <w:sz w:val="24"/>
          <w:szCs w:val="24"/>
          <w:lang w:val="en-GB"/>
        </w:rPr>
        <w:t xml:space="preserve">In this </w:t>
      </w:r>
      <w:r w:rsidR="009861E9" w:rsidRPr="00C926EC">
        <w:rPr>
          <w:rFonts w:ascii="Arial" w:hAnsi="Arial" w:cs="Arial"/>
          <w:bCs/>
          <w:iCs/>
          <w:sz w:val="24"/>
          <w:szCs w:val="24"/>
          <w:lang w:val="en-GB"/>
        </w:rPr>
        <w:t>sense</w:t>
      </w:r>
      <w:r w:rsidR="00163C08" w:rsidRPr="00C926EC">
        <w:rPr>
          <w:rFonts w:ascii="Arial" w:hAnsi="Arial" w:cs="Arial"/>
          <w:bCs/>
          <w:iCs/>
          <w:sz w:val="24"/>
          <w:szCs w:val="24"/>
          <w:lang w:val="en-GB"/>
        </w:rPr>
        <w:t xml:space="preserve">, two main alternatives </w:t>
      </w:r>
      <w:proofErr w:type="gramStart"/>
      <w:r w:rsidR="00163C08" w:rsidRPr="00C926EC">
        <w:rPr>
          <w:rFonts w:ascii="Arial" w:hAnsi="Arial" w:cs="Arial"/>
          <w:bCs/>
          <w:iCs/>
          <w:sz w:val="24"/>
          <w:szCs w:val="24"/>
          <w:lang w:val="en-GB"/>
        </w:rPr>
        <w:t>arises</w:t>
      </w:r>
      <w:proofErr w:type="gramEnd"/>
      <w:r w:rsidR="00163C08" w:rsidRPr="00C926EC">
        <w:rPr>
          <w:rFonts w:ascii="Arial" w:hAnsi="Arial" w:cs="Arial"/>
          <w:bCs/>
          <w:iCs/>
          <w:sz w:val="24"/>
          <w:szCs w:val="24"/>
          <w:lang w:val="en-GB"/>
        </w:rPr>
        <w:t xml:space="preserve">: </w:t>
      </w:r>
      <w:r w:rsidR="009861E9" w:rsidRPr="00C926EC">
        <w:rPr>
          <w:rFonts w:ascii="Arial" w:hAnsi="Arial" w:cs="Arial"/>
          <w:bCs/>
          <w:iCs/>
          <w:sz w:val="24"/>
          <w:szCs w:val="24"/>
          <w:lang w:val="en-GB"/>
        </w:rPr>
        <w:t>(</w:t>
      </w:r>
      <w:proofErr w:type="spellStart"/>
      <w:r w:rsidR="009861E9" w:rsidRPr="00C926EC">
        <w:rPr>
          <w:rFonts w:ascii="Arial" w:hAnsi="Arial" w:cs="Arial"/>
          <w:bCs/>
          <w:iCs/>
          <w:sz w:val="24"/>
          <w:szCs w:val="24"/>
          <w:lang w:val="en-GB"/>
        </w:rPr>
        <w:t>i</w:t>
      </w:r>
      <w:proofErr w:type="spellEnd"/>
      <w:r w:rsidR="009861E9" w:rsidRPr="00C926EC">
        <w:rPr>
          <w:rFonts w:ascii="Arial" w:hAnsi="Arial" w:cs="Arial"/>
          <w:bCs/>
          <w:iCs/>
          <w:sz w:val="24"/>
          <w:szCs w:val="24"/>
          <w:lang w:val="en-GB"/>
        </w:rPr>
        <w:t xml:space="preserve">) </w:t>
      </w:r>
      <w:r w:rsidR="00163C08" w:rsidRPr="00C926EC">
        <w:rPr>
          <w:rFonts w:ascii="Arial" w:hAnsi="Arial" w:cs="Arial"/>
          <w:bCs/>
          <w:iCs/>
          <w:sz w:val="24"/>
          <w:szCs w:val="24"/>
          <w:lang w:val="en-GB"/>
        </w:rPr>
        <w:t>new technological improvements</w:t>
      </w:r>
      <w:r w:rsidRPr="00C926EC">
        <w:rPr>
          <w:rFonts w:ascii="Arial" w:hAnsi="Arial" w:cs="Arial"/>
          <w:bCs/>
          <w:iCs/>
          <w:sz w:val="24"/>
          <w:szCs w:val="24"/>
          <w:lang w:val="en-GB"/>
        </w:rPr>
        <w:t xml:space="preserve"> towards finding cheaper technical solutions for </w:t>
      </w:r>
      <w:r w:rsidR="00163C08" w:rsidRPr="00C926EC">
        <w:rPr>
          <w:rFonts w:ascii="Arial" w:hAnsi="Arial" w:cs="Arial"/>
          <w:bCs/>
          <w:iCs/>
          <w:sz w:val="24"/>
          <w:szCs w:val="24"/>
          <w:lang w:val="en-GB"/>
        </w:rPr>
        <w:t xml:space="preserve">biogas upgrading to biomethane; </w:t>
      </w:r>
      <w:r w:rsidR="009861E9" w:rsidRPr="00C926EC">
        <w:rPr>
          <w:rFonts w:ascii="Arial" w:hAnsi="Arial" w:cs="Arial"/>
          <w:bCs/>
          <w:iCs/>
          <w:sz w:val="24"/>
          <w:szCs w:val="24"/>
          <w:lang w:val="en-GB"/>
        </w:rPr>
        <w:t xml:space="preserve">(ii) </w:t>
      </w:r>
      <w:r w:rsidR="00163C08" w:rsidRPr="00C926EC">
        <w:rPr>
          <w:rFonts w:ascii="Arial" w:hAnsi="Arial" w:cs="Arial"/>
          <w:bCs/>
          <w:iCs/>
          <w:sz w:val="24"/>
          <w:szCs w:val="24"/>
          <w:lang w:val="en-GB"/>
        </w:rPr>
        <w:t>political measures which may help to reduce overall costs and reach profitability</w:t>
      </w:r>
      <w:r w:rsidRPr="00C926EC">
        <w:rPr>
          <w:rFonts w:ascii="Arial" w:hAnsi="Arial" w:cs="Arial"/>
          <w:bCs/>
          <w:iCs/>
          <w:sz w:val="24"/>
          <w:szCs w:val="24"/>
          <w:lang w:val="en-GB"/>
        </w:rPr>
        <w:t xml:space="preserve">. </w:t>
      </w:r>
      <w:r w:rsidR="00B91AA9" w:rsidRPr="00C926EC">
        <w:rPr>
          <w:rFonts w:ascii="Arial" w:hAnsi="Arial" w:cs="Arial"/>
          <w:bCs/>
          <w:iCs/>
          <w:sz w:val="24"/>
          <w:szCs w:val="24"/>
          <w:lang w:val="en-GB"/>
        </w:rPr>
        <w:t>W</w:t>
      </w:r>
      <w:r w:rsidR="00D607C6" w:rsidRPr="00C926EC">
        <w:rPr>
          <w:rFonts w:ascii="Arial" w:hAnsi="Arial" w:cs="Arial"/>
          <w:bCs/>
          <w:iCs/>
          <w:sz w:val="24"/>
          <w:szCs w:val="24"/>
          <w:lang w:val="en-GB"/>
        </w:rPr>
        <w:t>hen different end-products are targeted</w:t>
      </w:r>
      <w:r w:rsidR="00F2723C" w:rsidRPr="00C926EC">
        <w:rPr>
          <w:rFonts w:ascii="Arial" w:hAnsi="Arial" w:cs="Arial"/>
          <w:bCs/>
          <w:iCs/>
          <w:sz w:val="24"/>
          <w:szCs w:val="24"/>
          <w:lang w:val="en-GB"/>
        </w:rPr>
        <w:t>, some other options could be considered such as finding cheaper raw materials or consumables</w:t>
      </w:r>
      <w:r w:rsidR="001A7284" w:rsidRPr="00C926EC">
        <w:rPr>
          <w:rFonts w:ascii="Arial" w:hAnsi="Arial" w:cs="Arial"/>
          <w:bCs/>
          <w:iCs/>
          <w:sz w:val="24"/>
          <w:szCs w:val="24"/>
          <w:lang w:val="en-GB"/>
        </w:rPr>
        <w:t xml:space="preserve"> </w:t>
      </w:r>
      <w:r w:rsidR="001A7284" w:rsidRPr="00C926EC">
        <w:rPr>
          <w:rFonts w:ascii="Arial" w:hAnsi="Arial" w:cs="Arial"/>
          <w:bCs/>
          <w:iCs/>
          <w:sz w:val="24"/>
          <w:szCs w:val="24"/>
          <w:lang w:val="en-GB"/>
        </w:rPr>
        <w:fldChar w:fldCharType="begin" w:fldLock="1"/>
      </w:r>
      <w:r w:rsidR="00F8432F" w:rsidRPr="00C926EC">
        <w:rPr>
          <w:rFonts w:ascii="Arial" w:hAnsi="Arial" w:cs="Arial"/>
          <w:bCs/>
          <w:iCs/>
          <w:sz w:val="24"/>
          <w:szCs w:val="24"/>
          <w:lang w:val="en-GB"/>
        </w:rPr>
        <w:instrText>ADDIN CSL_CITATION {"citationItems":[{"id":"ITEM-1","itemData":{"DOI":"10.1016/j.apenergy.2020.115033","author":[{"dropping-particle":"","family":"Baena-Moreno","given":"Francisco M.","non-dropping-particle":"","parse-names":false,"suffix":""},{"dropping-particle":"","family":"Pastor-Pérez","given":"Laura","non-dropping-particle":"","parse-names":false,"suffix":""},{"dropping-particle":"","family":"Zhang","given":"Zhien","non-dropping-particle":"","parse-names":false,"suffix":""},{"dropping-particle":"","family":"Reina","given":"T.R.","non-dropping-particle":"","parse-names":false,"suffix":""}],"container-title":"Applied Energy","id":"ITEM-1","issued":{"date-parts":[["2020"]]},"title":"Stepping towards a low-carbon economy. Formic acid from biogas as case of study","type":"article-journal","volume":"268"},"uris":["http://www.mendeley.com/documents/?uuid=303b0165-2d8f-4015-9e84-7ab6394e6804"]}],"mendeley":{"formattedCitation":"(Baena-Moreno et al., 2020d)","plainTextFormattedCitation":"(Baena-Moreno et al., 2020d)","previouslyFormattedCitation":"(Baena-Moreno et al., 2020d)"},"properties":{"noteIndex":0},"schema":"https://github.com/citation-style-language/schema/raw/master/csl-citation.json"}</w:instrText>
      </w:r>
      <w:r w:rsidR="001A7284" w:rsidRPr="00C926EC">
        <w:rPr>
          <w:rFonts w:ascii="Arial" w:hAnsi="Arial" w:cs="Arial"/>
          <w:bCs/>
          <w:iCs/>
          <w:sz w:val="24"/>
          <w:szCs w:val="24"/>
          <w:lang w:val="en-GB"/>
        </w:rPr>
        <w:fldChar w:fldCharType="separate"/>
      </w:r>
      <w:r w:rsidR="00F8432F" w:rsidRPr="00C926EC">
        <w:rPr>
          <w:rFonts w:ascii="Arial" w:hAnsi="Arial" w:cs="Arial"/>
          <w:bCs/>
          <w:iCs/>
          <w:noProof/>
          <w:sz w:val="24"/>
          <w:szCs w:val="24"/>
          <w:lang w:val="en-GB"/>
        </w:rPr>
        <w:t>(Baena-Moreno et al., 2020d)</w:t>
      </w:r>
      <w:r w:rsidR="001A7284" w:rsidRPr="00C926EC">
        <w:rPr>
          <w:rFonts w:ascii="Arial" w:hAnsi="Arial" w:cs="Arial"/>
          <w:bCs/>
          <w:iCs/>
          <w:sz w:val="24"/>
          <w:szCs w:val="24"/>
          <w:lang w:val="en-GB"/>
        </w:rPr>
        <w:fldChar w:fldCharType="end"/>
      </w:r>
      <w:r w:rsidR="00F2723C" w:rsidRPr="00C926EC">
        <w:rPr>
          <w:rFonts w:ascii="Arial" w:hAnsi="Arial" w:cs="Arial"/>
          <w:bCs/>
          <w:iCs/>
          <w:sz w:val="24"/>
          <w:szCs w:val="24"/>
          <w:lang w:val="en-GB"/>
        </w:rPr>
        <w:t>. However, for biogas upgrading</w:t>
      </w:r>
      <w:r w:rsidR="00B91AA9" w:rsidRPr="00C926EC">
        <w:rPr>
          <w:rFonts w:ascii="Arial" w:hAnsi="Arial" w:cs="Arial"/>
          <w:bCs/>
          <w:iCs/>
          <w:sz w:val="24"/>
          <w:szCs w:val="24"/>
          <w:lang w:val="en-GB"/>
        </w:rPr>
        <w:t>,</w:t>
      </w:r>
      <w:r w:rsidR="00F2723C" w:rsidRPr="00C926EC">
        <w:rPr>
          <w:rFonts w:ascii="Arial" w:hAnsi="Arial" w:cs="Arial"/>
          <w:bCs/>
          <w:iCs/>
          <w:sz w:val="24"/>
          <w:szCs w:val="24"/>
          <w:lang w:val="en-GB"/>
        </w:rPr>
        <w:t xml:space="preserve"> </w:t>
      </w:r>
      <w:r w:rsidR="009861E9" w:rsidRPr="00C926EC">
        <w:rPr>
          <w:rFonts w:ascii="Arial" w:hAnsi="Arial" w:cs="Arial"/>
          <w:bCs/>
          <w:iCs/>
          <w:sz w:val="24"/>
          <w:szCs w:val="24"/>
          <w:lang w:val="en-GB"/>
        </w:rPr>
        <w:t>un</w:t>
      </w:r>
      <w:r w:rsidR="00F2723C" w:rsidRPr="00C926EC">
        <w:rPr>
          <w:rFonts w:ascii="Arial" w:hAnsi="Arial" w:cs="Arial"/>
          <w:bCs/>
          <w:iCs/>
          <w:sz w:val="24"/>
          <w:szCs w:val="24"/>
          <w:lang w:val="en-GB"/>
        </w:rPr>
        <w:t xml:space="preserve">expensive raw materials </w:t>
      </w:r>
      <w:r w:rsidR="00D607C6" w:rsidRPr="00C926EC">
        <w:rPr>
          <w:rFonts w:ascii="Arial" w:hAnsi="Arial" w:cs="Arial"/>
          <w:bCs/>
          <w:iCs/>
          <w:sz w:val="24"/>
          <w:szCs w:val="24"/>
          <w:lang w:val="en-GB"/>
        </w:rPr>
        <w:t>and</w:t>
      </w:r>
      <w:r w:rsidR="00F2723C" w:rsidRPr="00C926EC">
        <w:rPr>
          <w:rFonts w:ascii="Arial" w:hAnsi="Arial" w:cs="Arial"/>
          <w:bCs/>
          <w:iCs/>
          <w:sz w:val="24"/>
          <w:szCs w:val="24"/>
          <w:lang w:val="en-GB"/>
        </w:rPr>
        <w:t xml:space="preserve"> auxiliaries are needed. </w:t>
      </w:r>
      <w:r w:rsidR="00163C08" w:rsidRPr="00C926EC">
        <w:rPr>
          <w:rFonts w:ascii="Arial" w:hAnsi="Arial" w:cs="Arial"/>
          <w:bCs/>
          <w:iCs/>
          <w:sz w:val="24"/>
          <w:szCs w:val="24"/>
          <w:lang w:val="en-GB"/>
        </w:rPr>
        <w:t xml:space="preserve">The first alternative is </w:t>
      </w:r>
      <w:r w:rsidR="009861E9" w:rsidRPr="00C926EC">
        <w:rPr>
          <w:rFonts w:ascii="Arial" w:hAnsi="Arial" w:cs="Arial"/>
          <w:bCs/>
          <w:iCs/>
          <w:sz w:val="24"/>
          <w:szCs w:val="24"/>
          <w:lang w:val="en-GB"/>
        </w:rPr>
        <w:t>unrealistic</w:t>
      </w:r>
      <w:r w:rsidR="00163C08" w:rsidRPr="00C926EC">
        <w:rPr>
          <w:rFonts w:ascii="Arial" w:hAnsi="Arial" w:cs="Arial"/>
          <w:bCs/>
          <w:iCs/>
          <w:sz w:val="24"/>
          <w:szCs w:val="24"/>
          <w:lang w:val="en-GB"/>
        </w:rPr>
        <w:t xml:space="preserve"> for the forthcoming years. Biogas upgrading has been thoroughly studied </w:t>
      </w:r>
      <w:r w:rsidR="009861E9" w:rsidRPr="00C926EC">
        <w:rPr>
          <w:rFonts w:ascii="Arial" w:hAnsi="Arial" w:cs="Arial"/>
          <w:bCs/>
          <w:iCs/>
          <w:sz w:val="24"/>
          <w:szCs w:val="24"/>
          <w:lang w:val="en-GB"/>
        </w:rPr>
        <w:t>in the past</w:t>
      </w:r>
      <w:r w:rsidR="00163C08" w:rsidRPr="00C926EC">
        <w:rPr>
          <w:rFonts w:ascii="Arial" w:hAnsi="Arial" w:cs="Arial"/>
          <w:bCs/>
          <w:iCs/>
          <w:sz w:val="24"/>
          <w:szCs w:val="24"/>
          <w:lang w:val="en-GB"/>
        </w:rPr>
        <w:t xml:space="preserve"> decades</w:t>
      </w:r>
      <w:r w:rsidR="001A7284" w:rsidRPr="00C926EC">
        <w:rPr>
          <w:rFonts w:ascii="Arial" w:hAnsi="Arial" w:cs="Arial"/>
          <w:bCs/>
          <w:iCs/>
          <w:sz w:val="24"/>
          <w:szCs w:val="24"/>
          <w:lang w:val="en-GB"/>
        </w:rPr>
        <w:t xml:space="preserve"> </w:t>
      </w:r>
      <w:r w:rsidR="001A7284" w:rsidRPr="00C926EC">
        <w:rPr>
          <w:rFonts w:ascii="Arial" w:hAnsi="Arial" w:cs="Arial"/>
          <w:bCs/>
          <w:iCs/>
          <w:sz w:val="24"/>
          <w:szCs w:val="24"/>
          <w:lang w:val="en-GB"/>
        </w:rPr>
        <w:fldChar w:fldCharType="begin" w:fldLock="1"/>
      </w:r>
      <w:r w:rsidR="00F8432F" w:rsidRPr="00C926EC">
        <w:rPr>
          <w:rFonts w:ascii="Arial" w:hAnsi="Arial" w:cs="Arial"/>
          <w:bCs/>
          <w:iCs/>
          <w:sz w:val="24"/>
          <w:szCs w:val="24"/>
          <w:lang w:val="en-GB"/>
        </w:rPr>
        <w:instrText>ADDIN CSL_CITATION {"citationItems":[{"id":"ITEM-1","itemData":{"DOI":"10.1016/j.wasman.2011.12.016","ISBN":"0956-053X","ISSN":"0956053X","PMID":"22230660","abstract":"This article evaluates the life cycle assessment (LCA) of three biogas upgrading technologies. An in-depth study and evaluation was conducted on high pressure water scrubbing (HPWS), as well as alkaline with regeneration (AwR) and bottom ash upgrading (BABIU), which additionally offer carbon storage. AwR and BABIU are two novel technologies that utilize waste from municipal solid waste incinerators - namely bottom ash (BA) and air pollution control residues (APC) - and are able to store CO2from biogas through accelerated carbonation processes. These are compared to high pressure water scrubbing (HPWS) which is a widely used technology in Europe. The AwR uses an alkaline solution to remove the CO2and then the solution - rich in carbonate and bicarbonate ions - is regenerated through carbonation of APC. The BABIU process directly exposes the gas to the BA to remove and immediately store the CO2, again by carbonation. It was determined that the AwR process had an 84% higher impact in all LCA categories largely due to the energy intensive production of the alkaline reactants. The BABIU process had the lowest impact in most categories even when compared to five other CO2capture technologies on the market. AwR and BABIU have a particularly low impact in the global warming potential category as a result of the immediate storage of the CO2. For AwR, it was determined that using NaOH instead of KOH improves its environmental performance by 34%. For the BABIU process the use of renewable energies would improve its impact since accounts for 55% of the impact. © 2011 Elsevier Ltd.","author":[{"dropping-particle":"","family":"Starr","given":"Katherine","non-dropping-particle":"","parse-names":false,"suffix":""},{"dropping-particle":"","family":"Gabarrell","given":"Xavier","non-dropping-particle":"","parse-names":false,"suffix":""},{"dropping-particle":"","family":"Villalba","given":"Gara","non-dropping-particle":"","parse-names":false,"suffix":""},{"dropping-particle":"","family":"Talens","given":"Laura","non-dropping-particle":"","parse-names":false,"suffix":""},{"dropping-particle":"","family":"Lombardi","given":"Lidia","non-dropping-particle":"","parse-names":false,"suffix":""}],"container-title":"Waste Management","id":"ITEM-1","issue":"5","issued":{"date-parts":[["2012"]]},"page":"991-999","title":"Life cycle assessment of biogas upgrading technologies","type":"article-journal","volume":"32"},"uris":["http://www.mendeley.com/documents/?uuid=e8a19140-a5d9-4590-9447-c5a2711b6275","http://www.mendeley.com/documents/?uuid=7eef6b70-cc4c-4b9d-a4a7-4a5486f7ee32"]},{"id":"ITEM-2","itemData":{"DOI":"10.1016/j.rser.2015.06.029","ISBN":"13640321","ISSN":"18790690","PMID":"24293277","abstract":"Biogas is experiencing a period of rapid development and biogas upgrading is attracting increasing attention. Consequently, the market for biogas upgrading is facing significant challenges in terms of energy consumption and operating costs. Selection of upgrading technology is site-specific, case-sensitive and dependent on the biogas utilisation requirements and local circumstances. Therefore, matching the technology selected for use to specific requirements is significantly important. This paper systematically reviews the state-of-the-art of biogas cleaning and upgrading technologies, including product purity and impurities, methane recovery and loss, upgrading efficiency and the investment and operating costs. In addition, the potential utilisation of biogas and the corresponding requirements on gas quality are investigated in depth. Based on the results of comparisons between the technical features of upgrading technologies, the specific requirements for different gas utilizations and the relevant investment and operating costs, recommendations are made regarding appropriate technology.","author":[{"dropping-particle":"","family":"Sun","given":"Qie","non-dropping-particle":"","parse-names":false,"suffix":""},{"dropping-particle":"","family":"Li","given":"Hailong","non-dropping-particle":"","parse-names":false,"suffix":""},{"dropping-particle":"","family":"Yan","given":"Jinying","non-dropping-particle":"","parse-names":false,"suffix":""},{"dropping-particle":"","family":"Liu","given":"Longcheng","non-dropping-particle":"","parse-names":false,"suffix":""},{"dropping-particle":"","family":"Yu","given":"Zhixin","non-dropping-particle":"","parse-names":false,"suffix":""},{"dropping-particle":"","family":"Yu","given":"Xinhai","non-dropping-particle":"","parse-names":false,"suffix":""}],"container-title":"Renewable and Sustainable Energy Reviews","id":"ITEM-2","issued":{"date-parts":[["2015"]]},"page":"521-532","title":"Selection of appropriate biogas upgrading technology-a review of biogas cleaning, upgrading and utilisation","type":"article-journal","volume":"51"},"uris":["http://www.mendeley.com/documents/?uuid=2199958f-0d17-45d8-be4b-66905901ebfd","http://www.mendeley.com/documents/?uuid=796cbffc-2dd8-4b34-88f4-44edad2543f6"]}],"mendeley":{"formattedCitation":"(Starr et al., 2012; Sun et al., 2015)","plainTextFormattedCitation":"(Starr et al., 2012; Sun et al., 2015)","previouslyFormattedCitation":"(Starr et al., 2012; Sun et al., 2015)"},"properties":{"noteIndex":0},"schema":"https://github.com/citation-style-language/schema/raw/master/csl-citation.json"}</w:instrText>
      </w:r>
      <w:r w:rsidR="001A7284" w:rsidRPr="00C926EC">
        <w:rPr>
          <w:rFonts w:ascii="Arial" w:hAnsi="Arial" w:cs="Arial"/>
          <w:bCs/>
          <w:iCs/>
          <w:sz w:val="24"/>
          <w:szCs w:val="24"/>
          <w:lang w:val="en-GB"/>
        </w:rPr>
        <w:fldChar w:fldCharType="separate"/>
      </w:r>
      <w:r w:rsidR="00F8432F" w:rsidRPr="00C926EC">
        <w:rPr>
          <w:rFonts w:ascii="Arial" w:hAnsi="Arial" w:cs="Arial"/>
          <w:bCs/>
          <w:iCs/>
          <w:noProof/>
          <w:sz w:val="24"/>
          <w:szCs w:val="24"/>
          <w:lang w:val="en-GB"/>
        </w:rPr>
        <w:t>(Starr et al., 2012; Sun et al., 2015)</w:t>
      </w:r>
      <w:r w:rsidR="001A7284" w:rsidRPr="00C926EC">
        <w:rPr>
          <w:rFonts w:ascii="Arial" w:hAnsi="Arial" w:cs="Arial"/>
          <w:bCs/>
          <w:iCs/>
          <w:sz w:val="24"/>
          <w:szCs w:val="24"/>
          <w:lang w:val="en-GB"/>
        </w:rPr>
        <w:fldChar w:fldCharType="end"/>
      </w:r>
      <w:r w:rsidR="00163C08" w:rsidRPr="00C926EC">
        <w:rPr>
          <w:rFonts w:ascii="Arial" w:hAnsi="Arial" w:cs="Arial"/>
          <w:bCs/>
          <w:iCs/>
          <w:sz w:val="24"/>
          <w:szCs w:val="24"/>
          <w:lang w:val="en-US"/>
        </w:rPr>
        <w:t>. In this sense, chemical absorption with amines or caustic solvents</w:t>
      </w:r>
      <w:r w:rsidR="00D607C6" w:rsidRPr="00C926EC">
        <w:rPr>
          <w:rFonts w:ascii="Arial" w:hAnsi="Arial" w:cs="Arial"/>
          <w:bCs/>
          <w:iCs/>
          <w:sz w:val="24"/>
          <w:szCs w:val="24"/>
          <w:lang w:val="en-US"/>
        </w:rPr>
        <w:t xml:space="preserve"> as well</w:t>
      </w:r>
      <w:r w:rsidR="00B91AA9" w:rsidRPr="00C926EC">
        <w:rPr>
          <w:rFonts w:ascii="Arial" w:hAnsi="Arial" w:cs="Arial"/>
          <w:bCs/>
          <w:iCs/>
          <w:sz w:val="24"/>
          <w:szCs w:val="24"/>
          <w:lang w:val="en-US"/>
        </w:rPr>
        <w:t xml:space="preserve"> as </w:t>
      </w:r>
      <w:r w:rsidR="00163C08" w:rsidRPr="00C926EC">
        <w:rPr>
          <w:rFonts w:ascii="Arial" w:hAnsi="Arial" w:cs="Arial"/>
          <w:bCs/>
          <w:iCs/>
          <w:sz w:val="24"/>
          <w:szCs w:val="24"/>
          <w:lang w:val="en-US"/>
        </w:rPr>
        <w:t xml:space="preserve">adsorption and membrane </w:t>
      </w:r>
      <w:r w:rsidR="00D607C6" w:rsidRPr="00C926EC">
        <w:rPr>
          <w:rFonts w:ascii="Arial" w:hAnsi="Arial" w:cs="Arial"/>
          <w:bCs/>
          <w:iCs/>
          <w:sz w:val="24"/>
          <w:szCs w:val="24"/>
          <w:lang w:val="en-US"/>
        </w:rPr>
        <w:t xml:space="preserve">separation </w:t>
      </w:r>
      <w:r w:rsidR="00163C08" w:rsidRPr="00C926EC">
        <w:rPr>
          <w:rFonts w:ascii="Arial" w:hAnsi="Arial" w:cs="Arial"/>
          <w:bCs/>
          <w:iCs/>
          <w:sz w:val="24"/>
          <w:szCs w:val="24"/>
          <w:lang w:val="en-US"/>
        </w:rPr>
        <w:t>technolog</w:t>
      </w:r>
      <w:r w:rsidR="00B91AA9" w:rsidRPr="00C926EC">
        <w:rPr>
          <w:rFonts w:ascii="Arial" w:hAnsi="Arial" w:cs="Arial"/>
          <w:bCs/>
          <w:iCs/>
          <w:sz w:val="24"/>
          <w:szCs w:val="24"/>
          <w:lang w:val="en-US"/>
        </w:rPr>
        <w:t>ies</w:t>
      </w:r>
      <w:r w:rsidR="00D607C6" w:rsidRPr="00C926EC">
        <w:rPr>
          <w:rFonts w:ascii="Arial" w:hAnsi="Arial" w:cs="Arial"/>
          <w:bCs/>
          <w:iCs/>
          <w:sz w:val="24"/>
          <w:szCs w:val="24"/>
          <w:lang w:val="en-US"/>
        </w:rPr>
        <w:t xml:space="preserve"> represent the </w:t>
      </w:r>
      <w:proofErr w:type="gramStart"/>
      <w:r w:rsidR="00D607C6" w:rsidRPr="00C926EC">
        <w:rPr>
          <w:rFonts w:ascii="Arial" w:hAnsi="Arial" w:cs="Arial"/>
          <w:bCs/>
          <w:iCs/>
          <w:sz w:val="24"/>
          <w:szCs w:val="24"/>
          <w:lang w:val="en-US"/>
        </w:rPr>
        <w:t>state of the art</w:t>
      </w:r>
      <w:proofErr w:type="gramEnd"/>
      <w:r w:rsidR="00D607C6" w:rsidRPr="00C926EC">
        <w:rPr>
          <w:rFonts w:ascii="Arial" w:hAnsi="Arial" w:cs="Arial"/>
          <w:bCs/>
          <w:iCs/>
          <w:sz w:val="24"/>
          <w:szCs w:val="24"/>
          <w:lang w:val="en-US"/>
        </w:rPr>
        <w:t xml:space="preserve"> options</w:t>
      </w:r>
      <w:r w:rsidR="00163C08" w:rsidRPr="00C926EC">
        <w:rPr>
          <w:rFonts w:ascii="Arial" w:hAnsi="Arial" w:cs="Arial"/>
          <w:bCs/>
          <w:iCs/>
          <w:sz w:val="24"/>
          <w:szCs w:val="24"/>
          <w:lang w:val="en-US"/>
        </w:rPr>
        <w:t>. The maturity of these technologies has</w:t>
      </w:r>
      <w:r w:rsidR="004E0985" w:rsidRPr="00C926EC">
        <w:rPr>
          <w:rFonts w:ascii="Arial" w:hAnsi="Arial" w:cs="Arial"/>
          <w:bCs/>
          <w:iCs/>
          <w:sz w:val="24"/>
          <w:szCs w:val="24"/>
          <w:lang w:val="en-US"/>
        </w:rPr>
        <w:t xml:space="preserve"> already</w:t>
      </w:r>
      <w:r w:rsidR="00163C08" w:rsidRPr="00C926EC">
        <w:rPr>
          <w:rFonts w:ascii="Arial" w:hAnsi="Arial" w:cs="Arial"/>
          <w:bCs/>
          <w:iCs/>
          <w:sz w:val="24"/>
          <w:szCs w:val="24"/>
          <w:lang w:val="en-US"/>
        </w:rPr>
        <w:t xml:space="preserve"> reached commercial scale</w:t>
      </w:r>
      <w:r w:rsidR="004E0985" w:rsidRPr="00C926EC">
        <w:rPr>
          <w:rFonts w:ascii="Arial" w:hAnsi="Arial" w:cs="Arial"/>
          <w:bCs/>
          <w:iCs/>
          <w:sz w:val="24"/>
          <w:szCs w:val="24"/>
          <w:lang w:val="en-US"/>
        </w:rPr>
        <w:t>.</w:t>
      </w:r>
      <w:r w:rsidR="00163C08" w:rsidRPr="00C926EC">
        <w:rPr>
          <w:rFonts w:ascii="Arial" w:hAnsi="Arial" w:cs="Arial"/>
          <w:bCs/>
          <w:iCs/>
          <w:sz w:val="24"/>
          <w:szCs w:val="24"/>
          <w:lang w:val="en-US"/>
        </w:rPr>
        <w:t xml:space="preserve"> </w:t>
      </w:r>
      <w:r w:rsidR="004E0985" w:rsidRPr="00C926EC">
        <w:rPr>
          <w:rFonts w:ascii="Arial" w:hAnsi="Arial" w:cs="Arial"/>
          <w:bCs/>
          <w:iCs/>
          <w:sz w:val="24"/>
          <w:szCs w:val="24"/>
          <w:lang w:val="en-US"/>
        </w:rPr>
        <w:t>Therefore,</w:t>
      </w:r>
      <w:r w:rsidR="00163C08" w:rsidRPr="00C926EC">
        <w:rPr>
          <w:rFonts w:ascii="Arial" w:hAnsi="Arial" w:cs="Arial"/>
          <w:bCs/>
          <w:iCs/>
          <w:sz w:val="24"/>
          <w:szCs w:val="24"/>
          <w:lang w:val="en-US"/>
        </w:rPr>
        <w:t xml:space="preserve"> it seems rather difficult that another breakthrough technology will come up </w:t>
      </w:r>
      <w:proofErr w:type="gramStart"/>
      <w:r w:rsidR="00163C08" w:rsidRPr="00C926EC">
        <w:rPr>
          <w:rFonts w:ascii="Arial" w:hAnsi="Arial" w:cs="Arial"/>
          <w:bCs/>
          <w:iCs/>
          <w:sz w:val="24"/>
          <w:szCs w:val="24"/>
          <w:lang w:val="en-US"/>
        </w:rPr>
        <w:t xml:space="preserve">in the </w:t>
      </w:r>
      <w:r w:rsidR="009861E9" w:rsidRPr="00C926EC">
        <w:rPr>
          <w:rFonts w:ascii="Arial" w:hAnsi="Arial" w:cs="Arial"/>
          <w:bCs/>
          <w:iCs/>
          <w:sz w:val="24"/>
          <w:szCs w:val="24"/>
          <w:lang w:val="en-US"/>
        </w:rPr>
        <w:t>near future</w:t>
      </w:r>
      <w:proofErr w:type="gramEnd"/>
      <w:r w:rsidR="00163C08" w:rsidRPr="00C926EC">
        <w:rPr>
          <w:rFonts w:ascii="Arial" w:hAnsi="Arial" w:cs="Arial"/>
          <w:bCs/>
          <w:iCs/>
          <w:sz w:val="24"/>
          <w:szCs w:val="24"/>
          <w:lang w:val="en-US"/>
        </w:rPr>
        <w:t xml:space="preserve">. Nonetheless, the second option seems more viable as there are some political tools to reduce the costs of renewable energy </w:t>
      </w:r>
      <w:r w:rsidR="00163C08" w:rsidRPr="00C926EC">
        <w:rPr>
          <w:rFonts w:ascii="Arial" w:hAnsi="Arial" w:cs="Arial"/>
          <w:bCs/>
          <w:iCs/>
          <w:sz w:val="24"/>
          <w:szCs w:val="24"/>
          <w:lang w:val="en-US"/>
        </w:rPr>
        <w:lastRenderedPageBreak/>
        <w:t>alternatives</w:t>
      </w:r>
      <w:r w:rsidR="009861E9" w:rsidRPr="00C926EC">
        <w:rPr>
          <w:rFonts w:ascii="Arial" w:hAnsi="Arial" w:cs="Arial"/>
          <w:bCs/>
          <w:iCs/>
          <w:sz w:val="24"/>
          <w:szCs w:val="24"/>
          <w:lang w:val="en-US"/>
        </w:rPr>
        <w:t xml:space="preserve"> and there is </w:t>
      </w:r>
      <w:proofErr w:type="gramStart"/>
      <w:r w:rsidR="009861E9" w:rsidRPr="00C926EC">
        <w:rPr>
          <w:rFonts w:ascii="Arial" w:hAnsi="Arial" w:cs="Arial"/>
          <w:bCs/>
          <w:iCs/>
          <w:sz w:val="24"/>
          <w:szCs w:val="24"/>
          <w:lang w:val="en-US"/>
        </w:rPr>
        <w:t xml:space="preserve">a general </w:t>
      </w:r>
      <w:r w:rsidR="00F95D67" w:rsidRPr="00C926EC">
        <w:rPr>
          <w:rFonts w:ascii="Arial" w:hAnsi="Arial" w:cs="Arial"/>
          <w:bCs/>
          <w:iCs/>
          <w:sz w:val="24"/>
          <w:szCs w:val="24"/>
          <w:lang w:val="en-US"/>
        </w:rPr>
        <w:t>consensus</w:t>
      </w:r>
      <w:proofErr w:type="gramEnd"/>
      <w:r w:rsidR="009861E9" w:rsidRPr="00C926EC">
        <w:rPr>
          <w:rFonts w:ascii="Arial" w:hAnsi="Arial" w:cs="Arial"/>
          <w:bCs/>
          <w:iCs/>
          <w:sz w:val="24"/>
          <w:szCs w:val="24"/>
          <w:lang w:val="en-US"/>
        </w:rPr>
        <w:t xml:space="preserve"> in the UK and EU towards a low-carbon future</w:t>
      </w:r>
      <w:r w:rsidR="00163C08" w:rsidRPr="00C926EC">
        <w:rPr>
          <w:rFonts w:ascii="Arial" w:hAnsi="Arial" w:cs="Arial"/>
          <w:bCs/>
          <w:iCs/>
          <w:sz w:val="24"/>
          <w:szCs w:val="24"/>
          <w:lang w:val="en-US"/>
        </w:rPr>
        <w:t xml:space="preserve">. For example, subsidies as percentage of investment </w:t>
      </w:r>
      <w:proofErr w:type="gramStart"/>
      <w:r w:rsidR="00163C08" w:rsidRPr="00C926EC">
        <w:rPr>
          <w:rFonts w:ascii="Arial" w:hAnsi="Arial" w:cs="Arial"/>
          <w:bCs/>
          <w:iCs/>
          <w:sz w:val="24"/>
          <w:szCs w:val="24"/>
          <w:lang w:val="en-US"/>
        </w:rPr>
        <w:t>is</w:t>
      </w:r>
      <w:proofErr w:type="gramEnd"/>
      <w:r w:rsidR="00163C08" w:rsidRPr="00C926EC">
        <w:rPr>
          <w:rFonts w:ascii="Arial" w:hAnsi="Arial" w:cs="Arial"/>
          <w:bCs/>
          <w:iCs/>
          <w:sz w:val="24"/>
          <w:szCs w:val="24"/>
          <w:lang w:val="en-US"/>
        </w:rPr>
        <w:t xml:space="preserve"> a powe</w:t>
      </w:r>
      <w:r w:rsidR="00293015" w:rsidRPr="00C926EC">
        <w:rPr>
          <w:rFonts w:ascii="Arial" w:hAnsi="Arial" w:cs="Arial"/>
          <w:bCs/>
          <w:iCs/>
          <w:sz w:val="24"/>
          <w:szCs w:val="24"/>
          <w:lang w:val="en-US"/>
        </w:rPr>
        <w:t>r</w:t>
      </w:r>
      <w:r w:rsidR="00163C08" w:rsidRPr="00C926EC">
        <w:rPr>
          <w:rFonts w:ascii="Arial" w:hAnsi="Arial" w:cs="Arial"/>
          <w:bCs/>
          <w:iCs/>
          <w:sz w:val="24"/>
          <w:szCs w:val="24"/>
          <w:lang w:val="en-US"/>
        </w:rPr>
        <w:t xml:space="preserve">ful political </w:t>
      </w:r>
      <w:r w:rsidR="009861E9" w:rsidRPr="00C926EC">
        <w:rPr>
          <w:rFonts w:ascii="Arial" w:hAnsi="Arial" w:cs="Arial"/>
          <w:bCs/>
          <w:iCs/>
          <w:sz w:val="24"/>
          <w:szCs w:val="24"/>
          <w:lang w:val="en-US"/>
        </w:rPr>
        <w:t xml:space="preserve">action </w:t>
      </w:r>
      <w:r w:rsidR="00163C08" w:rsidRPr="00C926EC">
        <w:rPr>
          <w:rFonts w:ascii="Arial" w:hAnsi="Arial" w:cs="Arial"/>
          <w:bCs/>
          <w:iCs/>
          <w:sz w:val="24"/>
          <w:szCs w:val="24"/>
          <w:lang w:val="en-US"/>
        </w:rPr>
        <w:t>to reduce the overall investment costs and hence</w:t>
      </w:r>
      <w:r w:rsidR="00F95D67" w:rsidRPr="00C926EC">
        <w:rPr>
          <w:rFonts w:ascii="Arial" w:hAnsi="Arial" w:cs="Arial"/>
          <w:bCs/>
          <w:iCs/>
          <w:sz w:val="24"/>
          <w:szCs w:val="24"/>
          <w:lang w:val="en-US"/>
        </w:rPr>
        <w:t>,</w:t>
      </w:r>
      <w:r w:rsidR="00163C08" w:rsidRPr="00C926EC">
        <w:rPr>
          <w:rFonts w:ascii="Arial" w:hAnsi="Arial" w:cs="Arial"/>
          <w:bCs/>
          <w:iCs/>
          <w:sz w:val="24"/>
          <w:szCs w:val="24"/>
          <w:lang w:val="en-US"/>
        </w:rPr>
        <w:t xml:space="preserve"> to</w:t>
      </w:r>
      <w:r w:rsidR="00F95D67" w:rsidRPr="00C926EC">
        <w:rPr>
          <w:rFonts w:ascii="Arial" w:hAnsi="Arial" w:cs="Arial"/>
          <w:bCs/>
          <w:iCs/>
          <w:sz w:val="24"/>
          <w:szCs w:val="24"/>
          <w:lang w:val="en-US"/>
        </w:rPr>
        <w:t xml:space="preserve"> </w:t>
      </w:r>
      <w:r w:rsidR="00163C08" w:rsidRPr="00C926EC">
        <w:rPr>
          <w:rFonts w:ascii="Arial" w:hAnsi="Arial" w:cs="Arial"/>
          <w:bCs/>
          <w:iCs/>
          <w:sz w:val="24"/>
          <w:szCs w:val="24"/>
          <w:lang w:val="en-US"/>
        </w:rPr>
        <w:t xml:space="preserve">attract investors. This alternative </w:t>
      </w:r>
      <w:r w:rsidR="00F2723C" w:rsidRPr="00C926EC">
        <w:rPr>
          <w:rFonts w:ascii="Arial" w:hAnsi="Arial" w:cs="Arial"/>
          <w:bCs/>
          <w:iCs/>
          <w:sz w:val="24"/>
          <w:szCs w:val="24"/>
          <w:lang w:val="en-US"/>
        </w:rPr>
        <w:t>is</w:t>
      </w:r>
      <w:r w:rsidR="00163C08" w:rsidRPr="00C926EC">
        <w:rPr>
          <w:rFonts w:ascii="Arial" w:hAnsi="Arial" w:cs="Arial"/>
          <w:bCs/>
          <w:iCs/>
          <w:sz w:val="24"/>
          <w:szCs w:val="24"/>
          <w:lang w:val="en-US"/>
        </w:rPr>
        <w:t xml:space="preserve"> explore</w:t>
      </w:r>
      <w:r w:rsidR="00F2723C" w:rsidRPr="00C926EC">
        <w:rPr>
          <w:rFonts w:ascii="Arial" w:hAnsi="Arial" w:cs="Arial"/>
          <w:bCs/>
          <w:iCs/>
          <w:sz w:val="24"/>
          <w:szCs w:val="24"/>
          <w:lang w:val="en-US"/>
        </w:rPr>
        <w:t>d</w:t>
      </w:r>
      <w:r w:rsidR="00163C08" w:rsidRPr="00C926EC">
        <w:rPr>
          <w:rFonts w:ascii="Arial" w:hAnsi="Arial" w:cs="Arial"/>
          <w:bCs/>
          <w:iCs/>
          <w:sz w:val="24"/>
          <w:szCs w:val="24"/>
          <w:lang w:val="en-US"/>
        </w:rPr>
        <w:t xml:space="preserve"> in our analysis and could be a partial solution for reaching profitability </w:t>
      </w:r>
      <w:r w:rsidR="009861E9" w:rsidRPr="00C926EC">
        <w:rPr>
          <w:rFonts w:ascii="Arial" w:hAnsi="Arial" w:cs="Arial"/>
          <w:bCs/>
          <w:iCs/>
          <w:sz w:val="24"/>
          <w:szCs w:val="24"/>
          <w:lang w:val="en-US"/>
        </w:rPr>
        <w:t>and implement</w:t>
      </w:r>
      <w:r w:rsidR="00F95D67" w:rsidRPr="00C926EC">
        <w:rPr>
          <w:rFonts w:ascii="Arial" w:hAnsi="Arial" w:cs="Arial"/>
          <w:bCs/>
          <w:iCs/>
          <w:sz w:val="24"/>
          <w:szCs w:val="24"/>
          <w:lang w:val="en-US"/>
        </w:rPr>
        <w:t>ing</w:t>
      </w:r>
      <w:r w:rsidR="00163C08" w:rsidRPr="00C926EC">
        <w:rPr>
          <w:rFonts w:ascii="Arial" w:hAnsi="Arial" w:cs="Arial"/>
          <w:bCs/>
          <w:iCs/>
          <w:sz w:val="24"/>
          <w:szCs w:val="24"/>
          <w:lang w:val="en-US"/>
        </w:rPr>
        <w:t xml:space="preserve"> biomethane as renewable fuel for</w:t>
      </w:r>
      <w:r w:rsidR="00293015" w:rsidRPr="00C926EC">
        <w:rPr>
          <w:rFonts w:ascii="Arial" w:hAnsi="Arial" w:cs="Arial"/>
          <w:bCs/>
          <w:iCs/>
          <w:sz w:val="24"/>
          <w:szCs w:val="24"/>
          <w:lang w:val="en-US"/>
        </w:rPr>
        <w:t xml:space="preserve"> </w:t>
      </w:r>
      <w:r w:rsidR="009861E9" w:rsidRPr="00C926EC">
        <w:rPr>
          <w:rFonts w:ascii="Arial" w:hAnsi="Arial" w:cs="Arial"/>
          <w:bCs/>
          <w:iCs/>
          <w:sz w:val="24"/>
          <w:szCs w:val="24"/>
          <w:lang w:val="en-US"/>
        </w:rPr>
        <w:t xml:space="preserve">light </w:t>
      </w:r>
      <w:r w:rsidR="00163C08" w:rsidRPr="00C926EC">
        <w:rPr>
          <w:rFonts w:ascii="Arial" w:hAnsi="Arial" w:cs="Arial"/>
          <w:bCs/>
          <w:iCs/>
          <w:sz w:val="24"/>
          <w:szCs w:val="24"/>
          <w:lang w:val="en-US"/>
        </w:rPr>
        <w:t>shipping.</w:t>
      </w:r>
      <w:r w:rsidR="007E0C6D" w:rsidRPr="00C926EC">
        <w:rPr>
          <w:rFonts w:ascii="Arial" w:hAnsi="Arial" w:cs="Arial"/>
          <w:bCs/>
          <w:iCs/>
          <w:sz w:val="24"/>
          <w:szCs w:val="24"/>
          <w:lang w:val="en-US"/>
        </w:rPr>
        <w:t xml:space="preserve"> Figure </w:t>
      </w:r>
      <w:r w:rsidR="00655F74" w:rsidRPr="00C926EC">
        <w:rPr>
          <w:rFonts w:ascii="Arial" w:hAnsi="Arial" w:cs="Arial"/>
          <w:bCs/>
          <w:iCs/>
          <w:sz w:val="24"/>
          <w:szCs w:val="24"/>
          <w:lang w:val="en-US"/>
        </w:rPr>
        <w:t>4.B, 4.C and 4.D</w:t>
      </w:r>
      <w:r w:rsidR="00F2723C" w:rsidRPr="00C926EC">
        <w:rPr>
          <w:rFonts w:ascii="Arial" w:hAnsi="Arial" w:cs="Arial"/>
          <w:bCs/>
          <w:iCs/>
          <w:sz w:val="24"/>
          <w:szCs w:val="24"/>
          <w:lang w:val="en-US"/>
        </w:rPr>
        <w:t xml:space="preserve"> show</w:t>
      </w:r>
      <w:r w:rsidR="00F95D67" w:rsidRPr="00C926EC">
        <w:rPr>
          <w:rFonts w:ascii="Arial" w:hAnsi="Arial" w:cs="Arial"/>
          <w:bCs/>
          <w:iCs/>
          <w:sz w:val="24"/>
          <w:szCs w:val="24"/>
          <w:lang w:val="en-US"/>
        </w:rPr>
        <w:t>s</w:t>
      </w:r>
      <w:r w:rsidR="00F2723C" w:rsidRPr="00C926EC">
        <w:rPr>
          <w:rFonts w:ascii="Arial" w:hAnsi="Arial" w:cs="Arial"/>
          <w:bCs/>
          <w:iCs/>
          <w:sz w:val="24"/>
          <w:szCs w:val="24"/>
          <w:lang w:val="en-US"/>
        </w:rPr>
        <w:t xml:space="preserve"> the NPV evolution with different percentages of investment subsidies</w:t>
      </w:r>
      <w:r w:rsidR="00655F74" w:rsidRPr="00C926EC">
        <w:rPr>
          <w:rFonts w:ascii="Arial" w:hAnsi="Arial" w:cs="Arial"/>
          <w:bCs/>
          <w:iCs/>
          <w:sz w:val="24"/>
          <w:szCs w:val="24"/>
          <w:lang w:val="en-US"/>
        </w:rPr>
        <w:t xml:space="preserve"> for every plant size studied</w:t>
      </w:r>
      <w:r w:rsidR="00F2723C" w:rsidRPr="00C926EC">
        <w:rPr>
          <w:rFonts w:ascii="Arial" w:hAnsi="Arial" w:cs="Arial"/>
          <w:bCs/>
          <w:iCs/>
          <w:sz w:val="24"/>
          <w:szCs w:val="24"/>
          <w:lang w:val="en-US"/>
        </w:rPr>
        <w:t xml:space="preserve">. As </w:t>
      </w:r>
      <w:r w:rsidR="009861E9" w:rsidRPr="00C926EC">
        <w:rPr>
          <w:rFonts w:ascii="Arial" w:hAnsi="Arial" w:cs="Arial"/>
          <w:bCs/>
          <w:iCs/>
          <w:sz w:val="24"/>
          <w:szCs w:val="24"/>
          <w:lang w:val="en-US"/>
        </w:rPr>
        <w:t>depicted in the figure</w:t>
      </w:r>
      <w:r w:rsidR="00F2723C" w:rsidRPr="00C926EC">
        <w:rPr>
          <w:rFonts w:ascii="Arial" w:hAnsi="Arial" w:cs="Arial"/>
          <w:bCs/>
          <w:iCs/>
          <w:sz w:val="24"/>
          <w:szCs w:val="24"/>
          <w:lang w:val="en-US"/>
        </w:rPr>
        <w:t xml:space="preserve">, even if 100% of the investment is covered, the </w:t>
      </w:r>
      <w:r w:rsidR="009861E9" w:rsidRPr="00C926EC">
        <w:rPr>
          <w:rFonts w:ascii="Arial" w:hAnsi="Arial" w:cs="Arial"/>
          <w:bCs/>
          <w:iCs/>
          <w:sz w:val="24"/>
          <w:szCs w:val="24"/>
          <w:lang w:val="en-US"/>
        </w:rPr>
        <w:t>approach</w:t>
      </w:r>
      <w:r w:rsidR="00E349FE" w:rsidRPr="00C926EC">
        <w:rPr>
          <w:rFonts w:ascii="Arial" w:hAnsi="Arial" w:cs="Arial"/>
          <w:bCs/>
          <w:iCs/>
          <w:sz w:val="24"/>
          <w:szCs w:val="24"/>
          <w:lang w:val="en-US"/>
        </w:rPr>
        <w:t xml:space="preserve"> </w:t>
      </w:r>
      <w:r w:rsidR="00F2723C" w:rsidRPr="00C926EC">
        <w:rPr>
          <w:rFonts w:ascii="Arial" w:hAnsi="Arial" w:cs="Arial"/>
          <w:bCs/>
          <w:iCs/>
          <w:sz w:val="24"/>
          <w:szCs w:val="24"/>
          <w:lang w:val="en-US"/>
        </w:rPr>
        <w:t xml:space="preserve">would </w:t>
      </w:r>
      <w:r w:rsidR="00E349FE" w:rsidRPr="00C926EC">
        <w:rPr>
          <w:rFonts w:ascii="Arial" w:hAnsi="Arial" w:cs="Arial"/>
          <w:bCs/>
          <w:iCs/>
          <w:sz w:val="24"/>
          <w:szCs w:val="24"/>
          <w:lang w:val="en-US"/>
        </w:rPr>
        <w:t xml:space="preserve">still </w:t>
      </w:r>
      <w:r w:rsidR="00F2723C" w:rsidRPr="00C926EC">
        <w:rPr>
          <w:rFonts w:ascii="Arial" w:hAnsi="Arial" w:cs="Arial"/>
          <w:bCs/>
          <w:iCs/>
          <w:sz w:val="24"/>
          <w:szCs w:val="24"/>
          <w:lang w:val="en-US"/>
        </w:rPr>
        <w:t>be unprofitable.</w:t>
      </w:r>
      <w:r w:rsidR="00A44942" w:rsidRPr="00C926EC">
        <w:rPr>
          <w:rFonts w:ascii="Arial" w:hAnsi="Arial" w:cs="Arial"/>
          <w:bCs/>
          <w:iCs/>
          <w:sz w:val="24"/>
          <w:szCs w:val="24"/>
          <w:lang w:val="en-US"/>
        </w:rPr>
        <w:t xml:space="preserve"> Indeed, none of the several cases studied is </w:t>
      </w:r>
      <w:r w:rsidR="009861E9" w:rsidRPr="00C926EC">
        <w:rPr>
          <w:rFonts w:ascii="Arial" w:hAnsi="Arial" w:cs="Arial"/>
          <w:bCs/>
          <w:iCs/>
          <w:sz w:val="24"/>
          <w:szCs w:val="24"/>
          <w:lang w:val="en-US"/>
        </w:rPr>
        <w:t>close to</w:t>
      </w:r>
      <w:r w:rsidR="00A44942" w:rsidRPr="00C926EC">
        <w:rPr>
          <w:rFonts w:ascii="Arial" w:hAnsi="Arial" w:cs="Arial"/>
          <w:bCs/>
          <w:iCs/>
          <w:sz w:val="24"/>
          <w:szCs w:val="24"/>
          <w:lang w:val="en-US"/>
        </w:rPr>
        <w:t xml:space="preserve"> reach a NPV equal to zero. Based on these results and the current circumstances, the alternative of subsidies as percentage of investment can </w:t>
      </w:r>
      <w:r w:rsidR="009861E9" w:rsidRPr="00C926EC">
        <w:rPr>
          <w:rFonts w:ascii="Arial" w:hAnsi="Arial" w:cs="Arial"/>
          <w:bCs/>
          <w:iCs/>
          <w:sz w:val="24"/>
          <w:szCs w:val="24"/>
          <w:lang w:val="en-US"/>
        </w:rPr>
        <w:t xml:space="preserve">almost </w:t>
      </w:r>
      <w:r w:rsidR="00A44942" w:rsidRPr="00C926EC">
        <w:rPr>
          <w:rFonts w:ascii="Arial" w:hAnsi="Arial" w:cs="Arial"/>
          <w:bCs/>
          <w:iCs/>
          <w:sz w:val="24"/>
          <w:szCs w:val="24"/>
          <w:lang w:val="en-US"/>
        </w:rPr>
        <w:t xml:space="preserve">be </w:t>
      </w:r>
      <w:proofErr w:type="spellStart"/>
      <w:r w:rsidR="009861E9" w:rsidRPr="00C926EC">
        <w:rPr>
          <w:rFonts w:ascii="Arial" w:hAnsi="Arial" w:cs="Arial"/>
          <w:bCs/>
          <w:iCs/>
          <w:sz w:val="24"/>
          <w:szCs w:val="24"/>
          <w:lang w:val="en-US"/>
        </w:rPr>
        <w:t>demeed</w:t>
      </w:r>
      <w:proofErr w:type="spellEnd"/>
      <w:r w:rsidR="009861E9" w:rsidRPr="00C926EC">
        <w:rPr>
          <w:rFonts w:ascii="Arial" w:hAnsi="Arial" w:cs="Arial"/>
          <w:bCs/>
          <w:iCs/>
          <w:sz w:val="24"/>
          <w:szCs w:val="24"/>
          <w:lang w:val="en-US"/>
        </w:rPr>
        <w:t xml:space="preserve"> unpractical</w:t>
      </w:r>
      <w:r w:rsidR="00A44942" w:rsidRPr="00C926EC">
        <w:rPr>
          <w:rFonts w:ascii="Arial" w:hAnsi="Arial" w:cs="Arial"/>
          <w:bCs/>
          <w:iCs/>
          <w:sz w:val="24"/>
          <w:szCs w:val="24"/>
          <w:lang w:val="en-US"/>
        </w:rPr>
        <w:t>.</w:t>
      </w:r>
    </w:p>
    <w:p w14:paraId="1403E1E7" w14:textId="4863A611" w:rsidR="00655F74" w:rsidRPr="00C926EC" w:rsidRDefault="00655F74" w:rsidP="00655F74">
      <w:pPr>
        <w:spacing w:line="480" w:lineRule="auto"/>
        <w:jc w:val="center"/>
        <w:rPr>
          <w:rFonts w:ascii="Arial" w:hAnsi="Arial" w:cs="Arial"/>
          <w:bCs/>
          <w:iCs/>
          <w:sz w:val="24"/>
          <w:szCs w:val="24"/>
          <w:lang w:val="en-GB"/>
        </w:rPr>
      </w:pPr>
      <w:r w:rsidRPr="00C926EC">
        <w:rPr>
          <w:rFonts w:ascii="Arial" w:hAnsi="Arial" w:cs="Arial"/>
          <w:bCs/>
          <w:iCs/>
          <w:sz w:val="24"/>
          <w:szCs w:val="24"/>
          <w:lang w:val="en-GB"/>
        </w:rPr>
        <w:t>Figure 4. CO</w:t>
      </w:r>
      <w:r w:rsidRPr="00C926EC">
        <w:rPr>
          <w:rFonts w:ascii="Arial" w:hAnsi="Arial" w:cs="Arial"/>
          <w:bCs/>
          <w:iCs/>
          <w:sz w:val="24"/>
          <w:szCs w:val="24"/>
          <w:vertAlign w:val="subscript"/>
          <w:lang w:val="en-GB"/>
        </w:rPr>
        <w:t>2</w:t>
      </w:r>
      <w:r w:rsidRPr="00C926EC">
        <w:rPr>
          <w:rFonts w:ascii="Arial" w:hAnsi="Arial" w:cs="Arial"/>
          <w:bCs/>
          <w:iCs/>
          <w:sz w:val="24"/>
          <w:szCs w:val="24"/>
          <w:lang w:val="en-GB"/>
        </w:rPr>
        <w:t xml:space="preserve"> </w:t>
      </w:r>
      <w:r w:rsidR="00B968A4" w:rsidRPr="00C926EC">
        <w:rPr>
          <w:rFonts w:ascii="Arial" w:hAnsi="Arial" w:cs="Arial"/>
          <w:bCs/>
          <w:iCs/>
          <w:sz w:val="24"/>
          <w:szCs w:val="24"/>
          <w:lang w:val="en-GB"/>
        </w:rPr>
        <w:t>tax</w:t>
      </w:r>
      <w:r w:rsidRPr="00C926EC">
        <w:rPr>
          <w:rFonts w:ascii="Arial" w:hAnsi="Arial" w:cs="Arial"/>
          <w:bCs/>
          <w:iCs/>
          <w:sz w:val="24"/>
          <w:szCs w:val="24"/>
          <w:lang w:val="en-GB"/>
        </w:rPr>
        <w:t xml:space="preserve"> and investment subsidized analysis: (A) CO</w:t>
      </w:r>
      <w:r w:rsidRPr="00C926EC">
        <w:rPr>
          <w:rFonts w:ascii="Arial" w:hAnsi="Arial" w:cs="Arial"/>
          <w:bCs/>
          <w:iCs/>
          <w:sz w:val="24"/>
          <w:szCs w:val="24"/>
          <w:vertAlign w:val="subscript"/>
          <w:lang w:val="en-GB"/>
        </w:rPr>
        <w:t>2</w:t>
      </w:r>
      <w:r w:rsidRPr="00C926EC">
        <w:rPr>
          <w:rFonts w:ascii="Arial" w:hAnsi="Arial" w:cs="Arial"/>
          <w:bCs/>
          <w:iCs/>
          <w:sz w:val="24"/>
          <w:szCs w:val="24"/>
          <w:lang w:val="en-GB"/>
        </w:rPr>
        <w:t xml:space="preserve"> penalties for NPV equal to zero (scenarios 25-36); (B), (C), and (D) </w:t>
      </w:r>
      <w:r w:rsidRPr="00C926EC">
        <w:rPr>
          <w:rFonts w:ascii="Arial" w:hAnsi="Arial" w:cs="Arial"/>
          <w:sz w:val="24"/>
          <w:szCs w:val="24"/>
          <w:lang w:val="en-GB"/>
        </w:rPr>
        <w:t>NPV evolution with percentage of investment subsidies (scenarios 37-48).</w:t>
      </w:r>
    </w:p>
    <w:p w14:paraId="246D0C6A" w14:textId="0849C708" w:rsidR="00F9667A" w:rsidRPr="00C926EC" w:rsidRDefault="00A44942" w:rsidP="00A44942">
      <w:pPr>
        <w:spacing w:line="480" w:lineRule="auto"/>
        <w:jc w:val="both"/>
        <w:rPr>
          <w:rFonts w:ascii="Arial" w:hAnsi="Arial" w:cs="Arial"/>
          <w:sz w:val="24"/>
          <w:szCs w:val="24"/>
          <w:lang w:val="en-GB"/>
        </w:rPr>
      </w:pPr>
      <w:r w:rsidRPr="00C926EC">
        <w:rPr>
          <w:rFonts w:ascii="Arial" w:hAnsi="Arial" w:cs="Arial"/>
          <w:sz w:val="24"/>
          <w:szCs w:val="24"/>
          <w:lang w:val="en-GB"/>
        </w:rPr>
        <w:t>Examining the impacts of other parameters that may influence on the economic results</w:t>
      </w:r>
      <w:r w:rsidR="00F95D67" w:rsidRPr="00C926EC">
        <w:rPr>
          <w:rFonts w:ascii="Arial" w:hAnsi="Arial" w:cs="Arial"/>
          <w:sz w:val="24"/>
          <w:szCs w:val="24"/>
          <w:lang w:val="en-GB"/>
        </w:rPr>
        <w:t>,</w:t>
      </w:r>
      <w:r w:rsidRPr="00C926EC">
        <w:rPr>
          <w:rFonts w:ascii="Arial" w:hAnsi="Arial" w:cs="Arial"/>
          <w:sz w:val="24"/>
          <w:szCs w:val="24"/>
          <w:lang w:val="en-GB"/>
        </w:rPr>
        <w:t xml:space="preserve"> is important to cover all the possible variations. To this end, a sensitivity analysis </w:t>
      </w:r>
      <w:r w:rsidR="009B3243" w:rsidRPr="00C926EC">
        <w:rPr>
          <w:rFonts w:ascii="Arial" w:hAnsi="Arial" w:cs="Arial"/>
          <w:sz w:val="24"/>
          <w:szCs w:val="24"/>
          <w:lang w:val="en-GB"/>
        </w:rPr>
        <w:t xml:space="preserve">in terms of </w:t>
      </w:r>
      <w:r w:rsidR="00F95D67" w:rsidRPr="00C926EC">
        <w:rPr>
          <w:rFonts w:ascii="Arial" w:hAnsi="Arial" w:cs="Arial"/>
          <w:sz w:val="24"/>
          <w:szCs w:val="24"/>
          <w:lang w:val="en-GB"/>
        </w:rPr>
        <w:t xml:space="preserve">a </w:t>
      </w:r>
      <w:r w:rsidR="009B3243" w:rsidRPr="00C926EC">
        <w:rPr>
          <w:rFonts w:ascii="Arial" w:hAnsi="Arial" w:cs="Arial"/>
          <w:sz w:val="24"/>
          <w:szCs w:val="24"/>
          <w:lang w:val="en-GB"/>
        </w:rPr>
        <w:t xml:space="preserve">tornado plot </w:t>
      </w:r>
      <w:r w:rsidR="00EE4084" w:rsidRPr="00C926EC">
        <w:rPr>
          <w:rFonts w:ascii="Arial" w:hAnsi="Arial" w:cs="Arial"/>
          <w:sz w:val="24"/>
          <w:szCs w:val="24"/>
          <w:lang w:val="en-GB"/>
        </w:rPr>
        <w:t>is</w:t>
      </w:r>
      <w:r w:rsidRPr="00C926EC">
        <w:rPr>
          <w:rFonts w:ascii="Arial" w:hAnsi="Arial" w:cs="Arial"/>
          <w:sz w:val="24"/>
          <w:szCs w:val="24"/>
          <w:lang w:val="en-GB"/>
        </w:rPr>
        <w:t xml:space="preserve"> performed over the three biogas plant</w:t>
      </w:r>
      <w:r w:rsidR="00583B61" w:rsidRPr="00C926EC">
        <w:rPr>
          <w:rFonts w:ascii="Arial" w:hAnsi="Arial" w:cs="Arial"/>
          <w:sz w:val="24"/>
          <w:szCs w:val="24"/>
          <w:lang w:val="en-GB"/>
        </w:rPr>
        <w:t>s</w:t>
      </w:r>
      <w:r w:rsidRPr="00C926EC">
        <w:rPr>
          <w:rFonts w:ascii="Arial" w:hAnsi="Arial" w:cs="Arial"/>
          <w:sz w:val="24"/>
          <w:szCs w:val="24"/>
          <w:lang w:val="en-GB"/>
        </w:rPr>
        <w:t xml:space="preserve"> studied.</w:t>
      </w:r>
      <w:r w:rsidR="00F95D67" w:rsidRPr="00C926EC">
        <w:rPr>
          <w:rFonts w:ascii="Arial" w:hAnsi="Arial" w:cs="Arial"/>
          <w:sz w:val="24"/>
          <w:szCs w:val="24"/>
          <w:lang w:val="en-GB"/>
        </w:rPr>
        <w:t xml:space="preserve"> </w:t>
      </w:r>
      <w:r w:rsidR="00EE4084" w:rsidRPr="00C926EC">
        <w:rPr>
          <w:rFonts w:ascii="Arial" w:hAnsi="Arial" w:cs="Arial"/>
          <w:sz w:val="24"/>
          <w:szCs w:val="24"/>
          <w:lang w:val="en-GB"/>
        </w:rPr>
        <w:t xml:space="preserve">The parameters </w:t>
      </w:r>
      <w:proofErr w:type="spellStart"/>
      <w:r w:rsidR="00927E5E" w:rsidRPr="00C926EC">
        <w:rPr>
          <w:rFonts w:ascii="Arial" w:hAnsi="Arial" w:cs="Arial"/>
          <w:sz w:val="24"/>
          <w:szCs w:val="24"/>
          <w:lang w:val="en-GB"/>
        </w:rPr>
        <w:t>analyze</w:t>
      </w:r>
      <w:r w:rsidR="00EE4084" w:rsidRPr="00C926EC">
        <w:rPr>
          <w:rFonts w:ascii="Arial" w:hAnsi="Arial" w:cs="Arial"/>
          <w:sz w:val="24"/>
          <w:szCs w:val="24"/>
          <w:lang w:val="en-GB"/>
        </w:rPr>
        <w:t>d</w:t>
      </w:r>
      <w:proofErr w:type="spellEnd"/>
      <w:r w:rsidR="00EE4084" w:rsidRPr="00C926EC">
        <w:rPr>
          <w:rFonts w:ascii="Arial" w:hAnsi="Arial" w:cs="Arial"/>
          <w:sz w:val="24"/>
          <w:szCs w:val="24"/>
          <w:lang w:val="en-GB"/>
        </w:rPr>
        <w:t xml:space="preserve"> were the ones previously not intensively studied: labour, </w:t>
      </w:r>
      <w:proofErr w:type="spellStart"/>
      <w:r w:rsidR="00EE4084" w:rsidRPr="00C926EC">
        <w:rPr>
          <w:rFonts w:ascii="Arial" w:hAnsi="Arial" w:cs="Arial"/>
          <w:sz w:val="24"/>
          <w:szCs w:val="24"/>
          <w:lang w:val="en-GB"/>
        </w:rPr>
        <w:t>r</w:t>
      </w:r>
      <w:r w:rsidR="00EE4084" w:rsidRPr="00C926EC">
        <w:rPr>
          <w:rFonts w:ascii="Arial" w:hAnsi="Arial" w:cs="Arial"/>
          <w:sz w:val="24"/>
          <w:szCs w:val="24"/>
          <w:vertAlign w:val="subscript"/>
          <w:lang w:val="en-GB"/>
        </w:rPr>
        <w:t>d</w:t>
      </w:r>
      <w:proofErr w:type="spellEnd"/>
      <w:r w:rsidR="00EE4084" w:rsidRPr="00C926EC">
        <w:rPr>
          <w:rFonts w:ascii="Arial" w:hAnsi="Arial" w:cs="Arial"/>
          <w:sz w:val="24"/>
          <w:szCs w:val="24"/>
          <w:lang w:val="en-GB"/>
        </w:rPr>
        <w:t xml:space="preserve">, </w:t>
      </w:r>
      <w:proofErr w:type="spellStart"/>
      <w:r w:rsidR="00EE4084" w:rsidRPr="00C926EC">
        <w:rPr>
          <w:rFonts w:ascii="Arial" w:hAnsi="Arial" w:cs="Arial"/>
          <w:sz w:val="24"/>
          <w:szCs w:val="24"/>
          <w:lang w:val="en-GB"/>
        </w:rPr>
        <w:t>r</w:t>
      </w:r>
      <w:r w:rsidR="00EE4084" w:rsidRPr="00C926EC">
        <w:rPr>
          <w:rFonts w:ascii="Arial" w:hAnsi="Arial" w:cs="Arial"/>
          <w:sz w:val="24"/>
          <w:szCs w:val="24"/>
          <w:vertAlign w:val="subscript"/>
          <w:lang w:val="en-GB"/>
        </w:rPr>
        <w:t>int</w:t>
      </w:r>
      <w:proofErr w:type="spellEnd"/>
      <w:r w:rsidR="00EE4084" w:rsidRPr="00C926EC">
        <w:rPr>
          <w:rFonts w:ascii="Arial" w:hAnsi="Arial" w:cs="Arial"/>
          <w:sz w:val="24"/>
          <w:szCs w:val="24"/>
          <w:lang w:val="en-GB"/>
        </w:rPr>
        <w:t xml:space="preserve">, M&amp;O, </w:t>
      </w:r>
      <w:proofErr w:type="spellStart"/>
      <w:r w:rsidR="00EE4084" w:rsidRPr="00C926EC">
        <w:rPr>
          <w:rFonts w:ascii="Arial" w:hAnsi="Arial" w:cs="Arial"/>
          <w:sz w:val="24"/>
          <w:szCs w:val="24"/>
          <w:lang w:val="en-GB"/>
        </w:rPr>
        <w:t>C</w:t>
      </w:r>
      <w:r w:rsidR="00EE4084" w:rsidRPr="00C926EC">
        <w:rPr>
          <w:rFonts w:ascii="Arial" w:hAnsi="Arial" w:cs="Arial"/>
          <w:sz w:val="24"/>
          <w:szCs w:val="24"/>
          <w:vertAlign w:val="subscript"/>
          <w:lang w:val="en-GB"/>
        </w:rPr>
        <w:t>eu</w:t>
      </w:r>
      <w:proofErr w:type="spellEnd"/>
      <w:r w:rsidR="00EE4084" w:rsidRPr="00C926EC">
        <w:rPr>
          <w:rFonts w:ascii="Arial" w:hAnsi="Arial" w:cs="Arial"/>
          <w:sz w:val="24"/>
          <w:szCs w:val="24"/>
          <w:lang w:val="en-GB"/>
        </w:rPr>
        <w:t xml:space="preserve">, and </w:t>
      </w:r>
      <w:r w:rsidR="009B3243" w:rsidRPr="00C926EC">
        <w:rPr>
          <w:rFonts w:ascii="Arial" w:hAnsi="Arial" w:cs="Arial"/>
          <w:sz w:val="24"/>
          <w:szCs w:val="24"/>
          <w:lang w:val="en-GB"/>
        </w:rPr>
        <w:t>insurance costs (C</w:t>
      </w:r>
      <w:r w:rsidR="009B3243" w:rsidRPr="00C926EC">
        <w:rPr>
          <w:rFonts w:ascii="Arial" w:hAnsi="Arial" w:cs="Arial"/>
          <w:sz w:val="24"/>
          <w:szCs w:val="24"/>
          <w:vertAlign w:val="subscript"/>
          <w:lang w:val="en-GB"/>
        </w:rPr>
        <w:t>i</w:t>
      </w:r>
      <w:r w:rsidR="009B3243" w:rsidRPr="00C926EC">
        <w:rPr>
          <w:rFonts w:ascii="Arial" w:hAnsi="Arial" w:cs="Arial"/>
          <w:sz w:val="24"/>
          <w:szCs w:val="24"/>
          <w:lang w:val="en-GB"/>
        </w:rPr>
        <w:t>)</w:t>
      </w:r>
      <w:r w:rsidR="00EE4084" w:rsidRPr="00C926EC">
        <w:rPr>
          <w:rFonts w:ascii="Arial" w:hAnsi="Arial" w:cs="Arial"/>
          <w:sz w:val="24"/>
          <w:szCs w:val="24"/>
          <w:lang w:val="en-GB"/>
        </w:rPr>
        <w:t xml:space="preserve">. </w:t>
      </w:r>
      <w:r w:rsidR="00F9667A" w:rsidRPr="00C926EC">
        <w:rPr>
          <w:rFonts w:ascii="Arial" w:hAnsi="Arial" w:cs="Arial"/>
          <w:sz w:val="24"/>
          <w:szCs w:val="24"/>
          <w:lang w:val="en-GB"/>
        </w:rPr>
        <w:t xml:space="preserve">We studied those cases where only biogas upgrading is needed, as the </w:t>
      </w:r>
      <w:r w:rsidR="007B440B" w:rsidRPr="00C926EC">
        <w:rPr>
          <w:rFonts w:ascii="Arial" w:hAnsi="Arial" w:cs="Arial"/>
          <w:sz w:val="24"/>
          <w:szCs w:val="24"/>
          <w:lang w:val="en-GB"/>
        </w:rPr>
        <w:t xml:space="preserve">varied </w:t>
      </w:r>
      <w:r w:rsidR="00F9667A" w:rsidRPr="00C926EC">
        <w:rPr>
          <w:rFonts w:ascii="Arial" w:hAnsi="Arial" w:cs="Arial"/>
          <w:sz w:val="24"/>
          <w:szCs w:val="24"/>
          <w:lang w:val="en-GB"/>
        </w:rPr>
        <w:t xml:space="preserve">parameters </w:t>
      </w:r>
      <w:r w:rsidR="00E349FE" w:rsidRPr="00C926EC">
        <w:rPr>
          <w:rFonts w:ascii="Arial" w:hAnsi="Arial" w:cs="Arial"/>
          <w:sz w:val="24"/>
          <w:szCs w:val="24"/>
          <w:lang w:val="en-GB"/>
        </w:rPr>
        <w:t xml:space="preserve">exclusively </w:t>
      </w:r>
      <w:r w:rsidR="00F9667A" w:rsidRPr="00C926EC">
        <w:rPr>
          <w:rFonts w:ascii="Arial" w:hAnsi="Arial" w:cs="Arial"/>
          <w:sz w:val="24"/>
          <w:szCs w:val="24"/>
          <w:lang w:val="en-GB"/>
        </w:rPr>
        <w:t xml:space="preserve">affect this stage. The distance was previously evaluated all along the paper. </w:t>
      </w:r>
      <w:r w:rsidR="007E0C6D" w:rsidRPr="00C926EC">
        <w:rPr>
          <w:rFonts w:ascii="Arial" w:hAnsi="Arial" w:cs="Arial"/>
          <w:sz w:val="24"/>
          <w:szCs w:val="24"/>
          <w:lang w:val="en-GB"/>
        </w:rPr>
        <w:t xml:space="preserve">Figure </w:t>
      </w:r>
      <w:r w:rsidR="00655F74" w:rsidRPr="00C926EC">
        <w:rPr>
          <w:rFonts w:ascii="Arial" w:hAnsi="Arial" w:cs="Arial"/>
          <w:sz w:val="24"/>
          <w:szCs w:val="24"/>
          <w:lang w:val="en-GB"/>
        </w:rPr>
        <w:t>5</w:t>
      </w:r>
      <w:r w:rsidR="009B3243" w:rsidRPr="00C926EC">
        <w:rPr>
          <w:rFonts w:ascii="Arial" w:hAnsi="Arial" w:cs="Arial"/>
          <w:sz w:val="24"/>
          <w:szCs w:val="24"/>
          <w:lang w:val="en-GB"/>
        </w:rPr>
        <w:t xml:space="preserve"> shows the tornado plots obtained for the three different biogas plants.</w:t>
      </w:r>
      <w:r w:rsidR="00F9667A" w:rsidRPr="00C926EC">
        <w:rPr>
          <w:rFonts w:ascii="Arial" w:hAnsi="Arial" w:cs="Arial"/>
          <w:sz w:val="24"/>
          <w:szCs w:val="24"/>
          <w:lang w:val="en-GB"/>
        </w:rPr>
        <w:t xml:space="preserve"> Overall, the impact of these parameters is not as important as the impact of other parameters previously studied. The major influence is caused by labour </w:t>
      </w:r>
      <w:r w:rsidR="00F9667A" w:rsidRPr="00C926EC">
        <w:rPr>
          <w:rFonts w:ascii="Arial" w:hAnsi="Arial" w:cs="Arial"/>
          <w:sz w:val="24"/>
          <w:szCs w:val="24"/>
          <w:lang w:val="en-GB"/>
        </w:rPr>
        <w:lastRenderedPageBreak/>
        <w:t xml:space="preserve">(number of workers), which can be of up to 800 k€ for the entire life of the project. This result envisages that optimization of the number of </w:t>
      </w:r>
      <w:r w:rsidR="007B440B" w:rsidRPr="00C926EC">
        <w:rPr>
          <w:rFonts w:ascii="Arial" w:hAnsi="Arial" w:cs="Arial"/>
          <w:sz w:val="24"/>
          <w:szCs w:val="24"/>
          <w:lang w:val="en-GB"/>
        </w:rPr>
        <w:t xml:space="preserve">required </w:t>
      </w:r>
      <w:r w:rsidR="00F9667A" w:rsidRPr="00C926EC">
        <w:rPr>
          <w:rFonts w:ascii="Arial" w:hAnsi="Arial" w:cs="Arial"/>
          <w:sz w:val="24"/>
          <w:szCs w:val="24"/>
          <w:lang w:val="en-GB"/>
        </w:rPr>
        <w:t>worker</w:t>
      </w:r>
      <w:r w:rsidR="00583B61" w:rsidRPr="00C926EC">
        <w:rPr>
          <w:rFonts w:ascii="Arial" w:hAnsi="Arial" w:cs="Arial"/>
          <w:sz w:val="24"/>
          <w:szCs w:val="24"/>
          <w:lang w:val="en-GB"/>
        </w:rPr>
        <w:t>s</w:t>
      </w:r>
      <w:r w:rsidR="00F9667A" w:rsidRPr="00C926EC">
        <w:rPr>
          <w:rFonts w:ascii="Arial" w:hAnsi="Arial" w:cs="Arial"/>
          <w:sz w:val="24"/>
          <w:szCs w:val="24"/>
          <w:lang w:val="en-GB"/>
        </w:rPr>
        <w:t xml:space="preserve"> could help to stablish cost variations. Following this parameter, </w:t>
      </w:r>
      <w:proofErr w:type="spellStart"/>
      <w:r w:rsidR="00F9667A" w:rsidRPr="00C926EC">
        <w:rPr>
          <w:rFonts w:ascii="Arial" w:hAnsi="Arial" w:cs="Arial"/>
          <w:sz w:val="24"/>
          <w:szCs w:val="24"/>
          <w:lang w:val="en-GB"/>
        </w:rPr>
        <w:t>r</w:t>
      </w:r>
      <w:r w:rsidR="00F9667A" w:rsidRPr="00C926EC">
        <w:rPr>
          <w:rFonts w:ascii="Arial" w:hAnsi="Arial" w:cs="Arial"/>
          <w:sz w:val="24"/>
          <w:szCs w:val="24"/>
          <w:vertAlign w:val="subscript"/>
          <w:lang w:val="en-GB"/>
        </w:rPr>
        <w:t>d</w:t>
      </w:r>
      <w:proofErr w:type="spellEnd"/>
      <w:r w:rsidR="00F9667A" w:rsidRPr="00C926EC">
        <w:rPr>
          <w:rFonts w:ascii="Arial" w:hAnsi="Arial" w:cs="Arial"/>
          <w:sz w:val="24"/>
          <w:szCs w:val="24"/>
          <w:lang w:val="en-GB"/>
        </w:rPr>
        <w:t xml:space="preserve"> can impact the project on about 350 k€. Nonetheless, this parameter rather depends on circumstances </w:t>
      </w:r>
      <w:r w:rsidR="009861E9" w:rsidRPr="00C926EC">
        <w:rPr>
          <w:rFonts w:ascii="Arial" w:hAnsi="Arial" w:cs="Arial"/>
          <w:sz w:val="24"/>
          <w:szCs w:val="24"/>
          <w:lang w:val="en-GB"/>
        </w:rPr>
        <w:t>beyond the</w:t>
      </w:r>
      <w:r w:rsidR="00F9667A" w:rsidRPr="00C926EC">
        <w:rPr>
          <w:rFonts w:ascii="Arial" w:hAnsi="Arial" w:cs="Arial"/>
          <w:sz w:val="24"/>
          <w:szCs w:val="24"/>
          <w:lang w:val="en-GB"/>
        </w:rPr>
        <w:t xml:space="preserve"> biomethane production plant owner</w:t>
      </w:r>
      <w:r w:rsidR="0091758E" w:rsidRPr="00C926EC">
        <w:rPr>
          <w:rFonts w:ascii="Arial" w:hAnsi="Arial" w:cs="Arial"/>
          <w:sz w:val="24"/>
          <w:szCs w:val="24"/>
          <w:lang w:val="en-GB"/>
        </w:rPr>
        <w:t>.</w:t>
      </w:r>
    </w:p>
    <w:p w14:paraId="3B47E2CC" w14:textId="10F13AB9" w:rsidR="0099266E" w:rsidRPr="00C926EC" w:rsidRDefault="007E0C6D" w:rsidP="00A5374B">
      <w:pPr>
        <w:spacing w:line="480" w:lineRule="auto"/>
        <w:jc w:val="center"/>
        <w:rPr>
          <w:rFonts w:ascii="Arial" w:hAnsi="Arial" w:cs="Arial"/>
          <w:sz w:val="24"/>
          <w:szCs w:val="24"/>
          <w:lang w:val="en-US"/>
        </w:rPr>
      </w:pPr>
      <w:r w:rsidRPr="00C926EC">
        <w:rPr>
          <w:rFonts w:ascii="Arial" w:hAnsi="Arial" w:cs="Arial"/>
          <w:sz w:val="24"/>
          <w:szCs w:val="24"/>
          <w:lang w:val="en-US"/>
        </w:rPr>
        <w:t xml:space="preserve">Figure </w:t>
      </w:r>
      <w:r w:rsidR="00655F74" w:rsidRPr="00C926EC">
        <w:rPr>
          <w:rFonts w:ascii="Arial" w:hAnsi="Arial" w:cs="Arial"/>
          <w:sz w:val="24"/>
          <w:szCs w:val="24"/>
          <w:lang w:val="en-US"/>
        </w:rPr>
        <w:t>5</w:t>
      </w:r>
      <w:r w:rsidR="00F9667A" w:rsidRPr="00C926EC">
        <w:rPr>
          <w:rFonts w:ascii="Arial" w:hAnsi="Arial" w:cs="Arial"/>
          <w:sz w:val="24"/>
          <w:szCs w:val="24"/>
          <w:lang w:val="en-US"/>
        </w:rPr>
        <w:t>. Tornado analysis</w:t>
      </w:r>
      <w:r w:rsidR="0086732D" w:rsidRPr="00C926EC">
        <w:rPr>
          <w:rFonts w:ascii="Arial" w:hAnsi="Arial" w:cs="Arial"/>
          <w:sz w:val="24"/>
          <w:szCs w:val="24"/>
          <w:lang w:val="en-US"/>
        </w:rPr>
        <w:t>. Scenarios 49-66.</w:t>
      </w:r>
    </w:p>
    <w:p w14:paraId="116694A4" w14:textId="77777777" w:rsidR="00A5374B" w:rsidRPr="00C926EC" w:rsidRDefault="00A5374B" w:rsidP="00A5374B">
      <w:pPr>
        <w:spacing w:line="480" w:lineRule="auto"/>
        <w:jc w:val="center"/>
        <w:rPr>
          <w:rFonts w:ascii="Arial" w:hAnsi="Arial" w:cs="Arial"/>
          <w:sz w:val="24"/>
          <w:szCs w:val="24"/>
          <w:lang w:val="en-US"/>
        </w:rPr>
      </w:pPr>
    </w:p>
    <w:p w14:paraId="47F8884A" w14:textId="4FA5B5B2" w:rsidR="00B9054D" w:rsidRPr="00C926EC" w:rsidRDefault="0071132B" w:rsidP="00E74680">
      <w:pPr>
        <w:pStyle w:val="ListParagraph"/>
        <w:numPr>
          <w:ilvl w:val="0"/>
          <w:numId w:val="1"/>
        </w:numPr>
        <w:spacing w:line="480" w:lineRule="auto"/>
        <w:jc w:val="both"/>
        <w:rPr>
          <w:rFonts w:ascii="Arial" w:hAnsi="Arial" w:cs="Arial"/>
          <w:b/>
          <w:sz w:val="24"/>
          <w:szCs w:val="24"/>
          <w:lang w:val="en-US"/>
        </w:rPr>
      </w:pPr>
      <w:r w:rsidRPr="00C926EC">
        <w:rPr>
          <w:rFonts w:ascii="Arial" w:hAnsi="Arial" w:cs="Arial"/>
          <w:b/>
          <w:sz w:val="24"/>
          <w:szCs w:val="24"/>
          <w:lang w:val="en-US"/>
        </w:rPr>
        <w:t>Conclusions</w:t>
      </w:r>
    </w:p>
    <w:p w14:paraId="60A9792D" w14:textId="5BEB27E6" w:rsidR="00CF00B0" w:rsidRPr="00C926EC" w:rsidRDefault="008702A1" w:rsidP="003515CB">
      <w:pPr>
        <w:spacing w:line="480" w:lineRule="auto"/>
        <w:jc w:val="both"/>
        <w:rPr>
          <w:rFonts w:ascii="Arial" w:hAnsi="Arial" w:cs="Arial"/>
          <w:sz w:val="24"/>
          <w:szCs w:val="24"/>
          <w:lang w:val="en-GB"/>
        </w:rPr>
      </w:pPr>
      <w:r w:rsidRPr="00C926EC">
        <w:rPr>
          <w:rFonts w:ascii="Arial" w:hAnsi="Arial" w:cs="Arial"/>
          <w:sz w:val="24"/>
          <w:szCs w:val="24"/>
          <w:lang w:val="en-GB"/>
        </w:rPr>
        <w:t>Herein</w:t>
      </w:r>
      <w:r w:rsidR="00224129" w:rsidRPr="00C926EC">
        <w:rPr>
          <w:rFonts w:ascii="Arial" w:hAnsi="Arial" w:cs="Arial"/>
          <w:sz w:val="24"/>
          <w:szCs w:val="24"/>
          <w:lang w:val="en-GB"/>
        </w:rPr>
        <w:t>,</w:t>
      </w:r>
      <w:r w:rsidRPr="00C926EC">
        <w:rPr>
          <w:rFonts w:ascii="Arial" w:hAnsi="Arial" w:cs="Arial"/>
          <w:sz w:val="24"/>
          <w:szCs w:val="24"/>
          <w:lang w:val="en-GB"/>
        </w:rPr>
        <w:t xml:space="preserve"> we examined the </w:t>
      </w:r>
      <w:r w:rsidR="00B93730" w:rsidRPr="00C926EC">
        <w:rPr>
          <w:rFonts w:ascii="Arial" w:hAnsi="Arial" w:cs="Arial"/>
          <w:sz w:val="24"/>
          <w:szCs w:val="24"/>
          <w:lang w:val="en-GB"/>
        </w:rPr>
        <w:t>profitability</w:t>
      </w:r>
      <w:r w:rsidRPr="00C926EC">
        <w:rPr>
          <w:rFonts w:ascii="Arial" w:hAnsi="Arial" w:cs="Arial"/>
          <w:sz w:val="24"/>
          <w:szCs w:val="24"/>
          <w:lang w:val="en-GB"/>
        </w:rPr>
        <w:t xml:space="preserve"> of a </w:t>
      </w:r>
      <w:r w:rsidR="0024350A" w:rsidRPr="00C926EC">
        <w:rPr>
          <w:rFonts w:ascii="Arial" w:hAnsi="Arial" w:cs="Arial"/>
          <w:sz w:val="24"/>
          <w:szCs w:val="24"/>
          <w:lang w:val="en-GB"/>
        </w:rPr>
        <w:t>particular application to use</w:t>
      </w:r>
      <w:r w:rsidRPr="00C926EC">
        <w:rPr>
          <w:rFonts w:ascii="Arial" w:hAnsi="Arial" w:cs="Arial"/>
          <w:sz w:val="24"/>
          <w:szCs w:val="24"/>
          <w:lang w:val="en-GB"/>
        </w:rPr>
        <w:t xml:space="preserve"> local biomethane as renewable fuel for </w:t>
      </w:r>
      <w:r w:rsidR="000045D2" w:rsidRPr="00C926EC">
        <w:rPr>
          <w:rFonts w:ascii="Arial" w:hAnsi="Arial" w:cs="Arial"/>
          <w:sz w:val="24"/>
          <w:szCs w:val="24"/>
          <w:lang w:val="en-GB"/>
        </w:rPr>
        <w:t>light marine transport</w:t>
      </w:r>
      <w:r w:rsidRPr="00C926EC">
        <w:rPr>
          <w:rFonts w:ascii="Arial" w:hAnsi="Arial" w:cs="Arial"/>
          <w:sz w:val="24"/>
          <w:szCs w:val="24"/>
          <w:lang w:val="en-GB"/>
        </w:rPr>
        <w:t xml:space="preserve">. </w:t>
      </w:r>
      <w:r w:rsidR="00CF00B0" w:rsidRPr="00C926EC">
        <w:rPr>
          <w:rFonts w:ascii="Arial" w:hAnsi="Arial" w:cs="Arial"/>
          <w:sz w:val="24"/>
          <w:szCs w:val="24"/>
          <w:lang w:val="en-GB"/>
        </w:rPr>
        <w:t xml:space="preserve">Even though our proposal </w:t>
      </w:r>
      <w:r w:rsidR="0080165B" w:rsidRPr="00C926EC">
        <w:rPr>
          <w:rFonts w:ascii="Arial" w:hAnsi="Arial" w:cs="Arial"/>
          <w:sz w:val="24"/>
          <w:szCs w:val="24"/>
          <w:lang w:val="en-GB"/>
        </w:rPr>
        <w:t xml:space="preserve">is a promising idea to </w:t>
      </w:r>
      <w:r w:rsidR="00E349FE" w:rsidRPr="00C926EC">
        <w:rPr>
          <w:rFonts w:ascii="Arial" w:hAnsi="Arial" w:cs="Arial"/>
          <w:sz w:val="24"/>
          <w:szCs w:val="24"/>
          <w:lang w:val="en-GB"/>
        </w:rPr>
        <w:t>decarbonize</w:t>
      </w:r>
      <w:r w:rsidR="00F95D67" w:rsidRPr="00C926EC">
        <w:rPr>
          <w:rFonts w:ascii="Arial" w:hAnsi="Arial" w:cs="Arial"/>
          <w:sz w:val="24"/>
          <w:szCs w:val="24"/>
          <w:lang w:val="en-GB"/>
        </w:rPr>
        <w:t xml:space="preserve"> </w:t>
      </w:r>
      <w:r w:rsidR="0080165B" w:rsidRPr="00C926EC">
        <w:rPr>
          <w:rFonts w:ascii="Arial" w:hAnsi="Arial" w:cs="Arial"/>
          <w:sz w:val="24"/>
          <w:szCs w:val="24"/>
          <w:lang w:val="en-GB"/>
        </w:rPr>
        <w:t>mari</w:t>
      </w:r>
      <w:r w:rsidR="00E349FE" w:rsidRPr="00C926EC">
        <w:rPr>
          <w:rFonts w:ascii="Arial" w:hAnsi="Arial" w:cs="Arial"/>
          <w:sz w:val="24"/>
          <w:szCs w:val="24"/>
          <w:lang w:val="en-GB"/>
        </w:rPr>
        <w:t>ne</w:t>
      </w:r>
      <w:r w:rsidR="0080165B" w:rsidRPr="00C926EC">
        <w:rPr>
          <w:rFonts w:ascii="Arial" w:hAnsi="Arial" w:cs="Arial"/>
          <w:sz w:val="24"/>
          <w:szCs w:val="24"/>
          <w:lang w:val="en-GB"/>
        </w:rPr>
        <w:t xml:space="preserve"> transport sector, the </w:t>
      </w:r>
      <w:r w:rsidR="00EE3030" w:rsidRPr="00C926EC">
        <w:rPr>
          <w:rFonts w:ascii="Arial" w:hAnsi="Arial" w:cs="Arial"/>
          <w:sz w:val="24"/>
          <w:szCs w:val="24"/>
          <w:lang w:val="en-GB"/>
        </w:rPr>
        <w:t xml:space="preserve">approach </w:t>
      </w:r>
      <w:r w:rsidR="0080165B" w:rsidRPr="00C926EC">
        <w:rPr>
          <w:rFonts w:ascii="Arial" w:hAnsi="Arial" w:cs="Arial"/>
          <w:sz w:val="24"/>
          <w:szCs w:val="24"/>
          <w:lang w:val="en-GB"/>
        </w:rPr>
        <w:t xml:space="preserve">is not profitable </w:t>
      </w:r>
      <w:r w:rsidR="00511BB7" w:rsidRPr="00C926EC">
        <w:rPr>
          <w:rFonts w:ascii="Arial" w:hAnsi="Arial" w:cs="Arial"/>
          <w:sz w:val="24"/>
          <w:szCs w:val="24"/>
          <w:lang w:val="en-GB"/>
        </w:rPr>
        <w:t>under the current circumstances</w:t>
      </w:r>
      <w:r w:rsidR="0080165B" w:rsidRPr="00C926EC">
        <w:rPr>
          <w:rFonts w:ascii="Arial" w:hAnsi="Arial" w:cs="Arial"/>
          <w:sz w:val="24"/>
          <w:szCs w:val="24"/>
          <w:lang w:val="en-GB"/>
        </w:rPr>
        <w:t>.</w:t>
      </w:r>
      <w:r w:rsidR="00511BB7" w:rsidRPr="00C926EC">
        <w:rPr>
          <w:rFonts w:ascii="Arial" w:hAnsi="Arial" w:cs="Arial"/>
          <w:sz w:val="24"/>
          <w:szCs w:val="24"/>
          <w:lang w:val="en-GB"/>
        </w:rPr>
        <w:t xml:space="preserve"> </w:t>
      </w:r>
      <w:r w:rsidR="0080165B" w:rsidRPr="00C926EC">
        <w:rPr>
          <w:rFonts w:ascii="Arial" w:hAnsi="Arial" w:cs="Arial"/>
          <w:sz w:val="24"/>
          <w:szCs w:val="24"/>
          <w:lang w:val="en-GB"/>
        </w:rPr>
        <w:t>Subsidies as feed-in tariffs could boost the profitability of the largest plant studied (182 m</w:t>
      </w:r>
      <w:r w:rsidR="0080165B" w:rsidRPr="00C926EC">
        <w:rPr>
          <w:rFonts w:ascii="Arial" w:hAnsi="Arial" w:cs="Arial"/>
          <w:sz w:val="24"/>
          <w:szCs w:val="24"/>
          <w:vertAlign w:val="superscript"/>
          <w:lang w:val="en-GB"/>
        </w:rPr>
        <w:t>3</w:t>
      </w:r>
      <w:r w:rsidR="0080165B" w:rsidRPr="00C926EC">
        <w:rPr>
          <w:rFonts w:ascii="Arial" w:hAnsi="Arial" w:cs="Arial"/>
          <w:sz w:val="24"/>
          <w:szCs w:val="24"/>
          <w:lang w:val="en-GB"/>
        </w:rPr>
        <w:t xml:space="preserve">/h) at reasonable values (36.6-45.7 €/MWh). Nonetheless, the smallest biogas plant </w:t>
      </w:r>
      <w:proofErr w:type="spellStart"/>
      <w:r w:rsidR="00927E5E" w:rsidRPr="00C926EC">
        <w:rPr>
          <w:rFonts w:ascii="Arial" w:hAnsi="Arial" w:cs="Arial"/>
          <w:sz w:val="24"/>
          <w:szCs w:val="24"/>
          <w:lang w:val="en-GB"/>
        </w:rPr>
        <w:t>analyze</w:t>
      </w:r>
      <w:r w:rsidR="0080165B" w:rsidRPr="00C926EC">
        <w:rPr>
          <w:rFonts w:ascii="Arial" w:hAnsi="Arial" w:cs="Arial"/>
          <w:sz w:val="24"/>
          <w:szCs w:val="24"/>
          <w:lang w:val="en-GB"/>
        </w:rPr>
        <w:t>d</w:t>
      </w:r>
      <w:proofErr w:type="spellEnd"/>
      <w:r w:rsidR="0080165B" w:rsidRPr="00C926EC">
        <w:rPr>
          <w:rFonts w:ascii="Arial" w:hAnsi="Arial" w:cs="Arial"/>
          <w:sz w:val="24"/>
          <w:szCs w:val="24"/>
          <w:lang w:val="en-GB"/>
        </w:rPr>
        <w:t xml:space="preserve"> </w:t>
      </w:r>
      <w:r w:rsidR="00EE3030" w:rsidRPr="00C926EC">
        <w:rPr>
          <w:rFonts w:ascii="Arial" w:hAnsi="Arial" w:cs="Arial"/>
          <w:sz w:val="24"/>
          <w:szCs w:val="24"/>
          <w:lang w:val="en-GB"/>
        </w:rPr>
        <w:t xml:space="preserve">would </w:t>
      </w:r>
      <w:r w:rsidR="0080165B" w:rsidRPr="00C926EC">
        <w:rPr>
          <w:rFonts w:ascii="Arial" w:hAnsi="Arial" w:cs="Arial"/>
          <w:sz w:val="24"/>
          <w:szCs w:val="24"/>
          <w:lang w:val="en-GB"/>
        </w:rPr>
        <w:t>need out-of-market incentives to reach positive economic outputs (65-82.7 €/MWh)</w:t>
      </w:r>
      <w:r w:rsidR="002F68A7" w:rsidRPr="00C926EC">
        <w:rPr>
          <w:rFonts w:ascii="Arial" w:hAnsi="Arial" w:cs="Arial"/>
          <w:sz w:val="24"/>
          <w:szCs w:val="24"/>
          <w:lang w:val="en-GB"/>
        </w:rPr>
        <w:t>.</w:t>
      </w:r>
      <w:r w:rsidR="00ED2D11" w:rsidRPr="00C926EC">
        <w:rPr>
          <w:rFonts w:ascii="Arial" w:hAnsi="Arial" w:cs="Arial"/>
          <w:sz w:val="24"/>
          <w:szCs w:val="24"/>
          <w:lang w:val="en-GB"/>
        </w:rPr>
        <w:t xml:space="preserve"> </w:t>
      </w:r>
      <w:r w:rsidR="006569FD" w:rsidRPr="00C926EC">
        <w:rPr>
          <w:rFonts w:ascii="Arial" w:hAnsi="Arial" w:cs="Arial"/>
          <w:sz w:val="24"/>
          <w:szCs w:val="24"/>
          <w:lang w:val="en-GB"/>
        </w:rPr>
        <w:t>The increase of CO</w:t>
      </w:r>
      <w:r w:rsidR="006569FD" w:rsidRPr="00C926EC">
        <w:rPr>
          <w:rFonts w:ascii="Arial" w:hAnsi="Arial" w:cs="Arial"/>
          <w:sz w:val="24"/>
          <w:szCs w:val="24"/>
          <w:vertAlign w:val="subscript"/>
          <w:lang w:val="en-GB"/>
        </w:rPr>
        <w:t>2</w:t>
      </w:r>
      <w:r w:rsidR="006569FD" w:rsidRPr="00C926EC">
        <w:rPr>
          <w:rFonts w:ascii="Arial" w:hAnsi="Arial" w:cs="Arial"/>
          <w:sz w:val="24"/>
          <w:szCs w:val="24"/>
          <w:lang w:val="en-GB"/>
        </w:rPr>
        <w:t xml:space="preserve"> </w:t>
      </w:r>
      <w:r w:rsidR="00E349FE" w:rsidRPr="00C926EC">
        <w:rPr>
          <w:rFonts w:ascii="Arial" w:hAnsi="Arial" w:cs="Arial"/>
          <w:sz w:val="24"/>
          <w:szCs w:val="24"/>
          <w:lang w:val="en-GB"/>
        </w:rPr>
        <w:t xml:space="preserve">emissions tax </w:t>
      </w:r>
      <w:r w:rsidR="006569FD" w:rsidRPr="00C926EC">
        <w:rPr>
          <w:rFonts w:ascii="Arial" w:hAnsi="Arial" w:cs="Arial"/>
          <w:sz w:val="24"/>
          <w:szCs w:val="24"/>
          <w:lang w:val="en-GB"/>
        </w:rPr>
        <w:t xml:space="preserve">in the final fuel consumer was also considered. Values seven times greater than the current penalties are </w:t>
      </w:r>
      <w:r w:rsidR="00EE3030" w:rsidRPr="00C926EC">
        <w:rPr>
          <w:rFonts w:ascii="Arial" w:hAnsi="Arial" w:cs="Arial"/>
          <w:sz w:val="24"/>
          <w:szCs w:val="24"/>
          <w:lang w:val="en-GB"/>
        </w:rPr>
        <w:t xml:space="preserve">required </w:t>
      </w:r>
      <w:r w:rsidR="006569FD" w:rsidRPr="00C926EC">
        <w:rPr>
          <w:rFonts w:ascii="Arial" w:hAnsi="Arial" w:cs="Arial"/>
          <w:sz w:val="24"/>
          <w:szCs w:val="24"/>
          <w:lang w:val="en-GB"/>
        </w:rPr>
        <w:t>to reach profitability.</w:t>
      </w:r>
      <w:r w:rsidR="00511BB7" w:rsidRPr="00C926EC">
        <w:rPr>
          <w:rFonts w:ascii="Arial" w:hAnsi="Arial" w:cs="Arial"/>
          <w:sz w:val="24"/>
          <w:szCs w:val="24"/>
          <w:lang w:val="en-GB"/>
        </w:rPr>
        <w:t xml:space="preserve"> Subsidies as percentage of investment were also evaluated, revealing a poor improvement even at 100% of investment subsidized. </w:t>
      </w:r>
      <w:r w:rsidR="0029117F" w:rsidRPr="00C926EC">
        <w:rPr>
          <w:rFonts w:ascii="Arial" w:hAnsi="Arial" w:cs="Arial"/>
          <w:sz w:val="24"/>
          <w:szCs w:val="24"/>
          <w:lang w:val="en-GB"/>
        </w:rPr>
        <w:t xml:space="preserve">Despite being geographically focused on </w:t>
      </w:r>
      <w:r w:rsidR="00224129" w:rsidRPr="00C926EC">
        <w:rPr>
          <w:rFonts w:ascii="Arial" w:hAnsi="Arial" w:cs="Arial"/>
          <w:sz w:val="24"/>
          <w:szCs w:val="24"/>
          <w:lang w:val="en-GB"/>
        </w:rPr>
        <w:t>the region of Cornwall (England),</w:t>
      </w:r>
      <w:r w:rsidR="0029117F" w:rsidRPr="00C926EC">
        <w:rPr>
          <w:rFonts w:ascii="Arial" w:hAnsi="Arial" w:cs="Arial"/>
          <w:sz w:val="24"/>
          <w:szCs w:val="24"/>
          <w:lang w:val="en-GB"/>
        </w:rPr>
        <w:t xml:space="preserve"> our approach provides fundamental insights on bio-menthane as green fuel for shipping, a proposal that can easily be extrapolated elsewhere. Indeed, the trends herein observed are useful to spark the debate on green shipping, a cornerstone for many local economies. </w:t>
      </w:r>
      <w:r w:rsidR="0080165B" w:rsidRPr="00C926EC">
        <w:rPr>
          <w:rFonts w:ascii="Arial" w:hAnsi="Arial" w:cs="Arial"/>
          <w:sz w:val="24"/>
          <w:szCs w:val="24"/>
          <w:lang w:val="en-US"/>
        </w:rPr>
        <w:t xml:space="preserve">Overall, </w:t>
      </w:r>
      <w:r w:rsidR="00EE3030" w:rsidRPr="00C926EC">
        <w:rPr>
          <w:rFonts w:ascii="Arial" w:hAnsi="Arial" w:cs="Arial"/>
          <w:sz w:val="24"/>
          <w:szCs w:val="24"/>
          <w:lang w:val="en-US"/>
        </w:rPr>
        <w:t>this pioneering study</w:t>
      </w:r>
      <w:r w:rsidR="0080165B" w:rsidRPr="00C926EC">
        <w:rPr>
          <w:rFonts w:ascii="Arial" w:hAnsi="Arial" w:cs="Arial"/>
          <w:sz w:val="24"/>
          <w:szCs w:val="24"/>
          <w:lang w:val="en-US"/>
        </w:rPr>
        <w:t xml:space="preserve"> </w:t>
      </w:r>
      <w:r w:rsidR="00511BB7" w:rsidRPr="00C926EC">
        <w:rPr>
          <w:rFonts w:ascii="Arial" w:hAnsi="Arial" w:cs="Arial"/>
          <w:sz w:val="24"/>
          <w:szCs w:val="24"/>
          <w:lang w:val="en-US"/>
        </w:rPr>
        <w:t xml:space="preserve">confirms </w:t>
      </w:r>
      <w:r w:rsidR="00511BB7" w:rsidRPr="00C926EC">
        <w:rPr>
          <w:rFonts w:ascii="Arial" w:hAnsi="Arial" w:cs="Arial"/>
          <w:sz w:val="24"/>
          <w:szCs w:val="24"/>
          <w:lang w:val="en-US"/>
        </w:rPr>
        <w:lastRenderedPageBreak/>
        <w:t xml:space="preserve">the need of more </w:t>
      </w:r>
      <w:r w:rsidR="00EE3030" w:rsidRPr="00C926EC">
        <w:rPr>
          <w:rFonts w:ascii="Arial" w:hAnsi="Arial" w:cs="Arial"/>
          <w:sz w:val="24"/>
          <w:szCs w:val="24"/>
          <w:lang w:val="en-US"/>
        </w:rPr>
        <w:t>ambitious policy-making actions</w:t>
      </w:r>
      <w:r w:rsidR="00511BB7" w:rsidRPr="00C926EC">
        <w:rPr>
          <w:rFonts w:ascii="Arial" w:hAnsi="Arial" w:cs="Arial"/>
          <w:sz w:val="24"/>
          <w:szCs w:val="24"/>
          <w:lang w:val="en-US"/>
        </w:rPr>
        <w:t xml:space="preserve"> </w:t>
      </w:r>
      <w:r w:rsidR="00EE3030" w:rsidRPr="00C926EC">
        <w:rPr>
          <w:rFonts w:ascii="Arial" w:hAnsi="Arial" w:cs="Arial"/>
          <w:sz w:val="24"/>
          <w:szCs w:val="24"/>
          <w:lang w:val="en-US"/>
        </w:rPr>
        <w:t>to ensure a smooth and prompt transition</w:t>
      </w:r>
      <w:r w:rsidR="00511BB7" w:rsidRPr="00C926EC">
        <w:rPr>
          <w:rFonts w:ascii="Arial" w:hAnsi="Arial" w:cs="Arial"/>
          <w:sz w:val="24"/>
          <w:szCs w:val="24"/>
          <w:lang w:val="en-US"/>
        </w:rPr>
        <w:t xml:space="preserve"> towards a </w:t>
      </w:r>
      <w:r w:rsidR="00EE3030" w:rsidRPr="00C926EC">
        <w:rPr>
          <w:rFonts w:ascii="Arial" w:hAnsi="Arial" w:cs="Arial"/>
          <w:sz w:val="24"/>
          <w:szCs w:val="24"/>
          <w:lang w:val="en-US"/>
        </w:rPr>
        <w:t>sustainable</w:t>
      </w:r>
      <w:r w:rsidR="00511BB7" w:rsidRPr="00C926EC">
        <w:rPr>
          <w:rFonts w:ascii="Arial" w:hAnsi="Arial" w:cs="Arial"/>
          <w:sz w:val="24"/>
          <w:szCs w:val="24"/>
          <w:lang w:val="en-US"/>
        </w:rPr>
        <w:t xml:space="preserve"> societ</w:t>
      </w:r>
      <w:r w:rsidR="003D0C00" w:rsidRPr="00C926EC">
        <w:rPr>
          <w:rFonts w:ascii="Arial" w:hAnsi="Arial" w:cs="Arial"/>
          <w:sz w:val="24"/>
          <w:szCs w:val="24"/>
          <w:lang w:val="en-US"/>
        </w:rPr>
        <w:t>y</w:t>
      </w:r>
      <w:r w:rsidR="00511BB7" w:rsidRPr="00C926EC">
        <w:rPr>
          <w:rFonts w:ascii="Arial" w:hAnsi="Arial" w:cs="Arial"/>
          <w:sz w:val="24"/>
          <w:szCs w:val="24"/>
          <w:lang w:val="en-US"/>
        </w:rPr>
        <w:t xml:space="preserve">. </w:t>
      </w:r>
    </w:p>
    <w:p w14:paraId="62AA1C74" w14:textId="2450A0E2" w:rsidR="0065182A" w:rsidRPr="00C926EC" w:rsidRDefault="0065182A" w:rsidP="007574E2">
      <w:pPr>
        <w:spacing w:line="360" w:lineRule="auto"/>
        <w:ind w:firstLine="708"/>
        <w:jc w:val="both"/>
        <w:rPr>
          <w:rFonts w:ascii="Arial" w:hAnsi="Arial" w:cs="Arial"/>
          <w:b/>
          <w:sz w:val="24"/>
          <w:szCs w:val="24"/>
          <w:lang w:val="en-US"/>
        </w:rPr>
      </w:pPr>
      <w:r w:rsidRPr="00C926EC">
        <w:rPr>
          <w:rFonts w:ascii="Arial" w:hAnsi="Arial" w:cs="Arial"/>
          <w:b/>
          <w:sz w:val="24"/>
          <w:szCs w:val="24"/>
          <w:lang w:val="en-US"/>
        </w:rPr>
        <w:t>Acknowledgments</w:t>
      </w:r>
    </w:p>
    <w:p w14:paraId="52F2485C" w14:textId="3FBB0AE5" w:rsidR="001C68E8" w:rsidRPr="00C926EC" w:rsidRDefault="0052024E" w:rsidP="007D078C">
      <w:pPr>
        <w:spacing w:line="480" w:lineRule="auto"/>
        <w:jc w:val="both"/>
        <w:rPr>
          <w:rFonts w:ascii="Arial" w:hAnsi="Arial" w:cs="Arial"/>
          <w:sz w:val="24"/>
          <w:szCs w:val="24"/>
          <w:lang w:val="en-US"/>
        </w:rPr>
      </w:pPr>
      <w:r w:rsidRPr="00C926EC">
        <w:rPr>
          <w:rFonts w:ascii="Arial" w:hAnsi="Arial" w:cs="Arial"/>
          <w:sz w:val="24"/>
          <w:szCs w:val="24"/>
          <w:lang w:val="en-GB"/>
        </w:rPr>
        <w:t>The authors would like to thank the Junta de Castilla y León (</w:t>
      </w:r>
      <w:proofErr w:type="spellStart"/>
      <w:r w:rsidRPr="00C926EC">
        <w:rPr>
          <w:rFonts w:ascii="Arial" w:hAnsi="Arial" w:cs="Arial"/>
          <w:sz w:val="24"/>
          <w:szCs w:val="24"/>
          <w:lang w:val="en-GB"/>
        </w:rPr>
        <w:t>Consejería</w:t>
      </w:r>
      <w:proofErr w:type="spellEnd"/>
      <w:r w:rsidRPr="00C926EC">
        <w:rPr>
          <w:rFonts w:ascii="Arial" w:hAnsi="Arial" w:cs="Arial"/>
          <w:sz w:val="24"/>
          <w:szCs w:val="24"/>
          <w:lang w:val="en-GB"/>
        </w:rPr>
        <w:t xml:space="preserve"> de </w:t>
      </w:r>
      <w:proofErr w:type="spellStart"/>
      <w:r w:rsidRPr="00C926EC">
        <w:rPr>
          <w:rFonts w:ascii="Arial" w:hAnsi="Arial" w:cs="Arial"/>
          <w:sz w:val="24"/>
          <w:szCs w:val="24"/>
          <w:lang w:val="en-GB"/>
        </w:rPr>
        <w:t>Educación</w:t>
      </w:r>
      <w:proofErr w:type="spellEnd"/>
      <w:r w:rsidRPr="00C926EC">
        <w:rPr>
          <w:rFonts w:ascii="Arial" w:hAnsi="Arial" w:cs="Arial"/>
          <w:sz w:val="24"/>
          <w:szCs w:val="24"/>
          <w:lang w:val="en-GB"/>
        </w:rPr>
        <w:t xml:space="preserve">) Fellowship, Orden EDU/1100/2017, </w:t>
      </w:r>
      <w:proofErr w:type="spellStart"/>
      <w:r w:rsidRPr="00C926EC">
        <w:rPr>
          <w:rFonts w:ascii="Arial" w:hAnsi="Arial" w:cs="Arial"/>
          <w:sz w:val="24"/>
          <w:szCs w:val="24"/>
          <w:lang w:val="en-GB"/>
        </w:rPr>
        <w:t>cofinanced</w:t>
      </w:r>
      <w:proofErr w:type="spellEnd"/>
      <w:r w:rsidRPr="00C926EC">
        <w:rPr>
          <w:rFonts w:ascii="Arial" w:hAnsi="Arial" w:cs="Arial"/>
          <w:sz w:val="24"/>
          <w:szCs w:val="24"/>
          <w:lang w:val="en-GB"/>
        </w:rPr>
        <w:t xml:space="preserve"> by the European Social Fund. </w:t>
      </w:r>
      <w:r w:rsidR="00073F0F" w:rsidRPr="00C926EC">
        <w:rPr>
          <w:rFonts w:ascii="Arial" w:hAnsi="Arial" w:cs="Arial"/>
          <w:sz w:val="24"/>
          <w:szCs w:val="24"/>
          <w:lang w:val="en-US"/>
        </w:rPr>
        <w:t>T</w:t>
      </w:r>
      <w:r w:rsidR="001C68E8" w:rsidRPr="00C926EC">
        <w:rPr>
          <w:rFonts w:ascii="Arial" w:hAnsi="Arial" w:cs="Arial"/>
          <w:sz w:val="24"/>
          <w:szCs w:val="24"/>
          <w:lang w:val="en-US"/>
        </w:rPr>
        <w:t xml:space="preserve">his work was supported by </w:t>
      </w:r>
      <w:r w:rsidR="001C68E8" w:rsidRPr="00C926EC">
        <w:rPr>
          <w:rFonts w:ascii="Arial" w:hAnsi="Arial" w:cs="Arial"/>
          <w:sz w:val="24"/>
          <w:szCs w:val="24"/>
          <w:lang w:val="en-GB"/>
        </w:rPr>
        <w:t>University</w:t>
      </w:r>
      <w:r w:rsidR="001C68E8" w:rsidRPr="00C926EC">
        <w:rPr>
          <w:rFonts w:ascii="Arial" w:hAnsi="Arial" w:cs="Arial"/>
          <w:sz w:val="24"/>
          <w:szCs w:val="24"/>
          <w:lang w:val="en-US"/>
        </w:rPr>
        <w:t xml:space="preserve"> of Seville through V PPIT-US</w:t>
      </w:r>
      <w:r w:rsidR="00A7515E" w:rsidRPr="00C926EC">
        <w:rPr>
          <w:rFonts w:ascii="Arial" w:hAnsi="Arial" w:cs="Arial"/>
          <w:sz w:val="24"/>
          <w:szCs w:val="24"/>
          <w:lang w:val="en-US"/>
        </w:rPr>
        <w:t>.</w:t>
      </w:r>
      <w:r w:rsidR="00743ECB" w:rsidRPr="00C926EC">
        <w:rPr>
          <w:rFonts w:ascii="Arial" w:hAnsi="Arial" w:cs="Arial"/>
          <w:sz w:val="24"/>
          <w:szCs w:val="24"/>
          <w:lang w:val="en-US"/>
        </w:rPr>
        <w:t xml:space="preserve"> </w:t>
      </w:r>
      <w:r w:rsidR="00AB08D3" w:rsidRPr="00C926EC">
        <w:rPr>
          <w:rFonts w:ascii="Arial" w:hAnsi="Arial" w:cs="Arial"/>
          <w:sz w:val="24"/>
          <w:szCs w:val="24"/>
          <w:lang w:val="en-US"/>
        </w:rPr>
        <w:t>This work was also partially funded by the CO</w:t>
      </w:r>
      <w:r w:rsidR="00AB08D3" w:rsidRPr="00C926EC">
        <w:rPr>
          <w:rFonts w:ascii="Arial" w:hAnsi="Arial" w:cs="Arial"/>
          <w:sz w:val="24"/>
          <w:szCs w:val="24"/>
          <w:vertAlign w:val="subscript"/>
          <w:lang w:val="en-US"/>
        </w:rPr>
        <w:t>2</w:t>
      </w:r>
      <w:r w:rsidR="00AB08D3" w:rsidRPr="00C926EC">
        <w:rPr>
          <w:rFonts w:ascii="Arial" w:hAnsi="Arial" w:cs="Arial"/>
          <w:sz w:val="24"/>
          <w:szCs w:val="24"/>
          <w:lang w:val="en-US"/>
        </w:rPr>
        <w:t>Chem UK through the EPSRC grant (No. EP/R512904/1) and the Royal Society R</w:t>
      </w:r>
      <w:r w:rsidR="00A22148" w:rsidRPr="00C926EC">
        <w:rPr>
          <w:rFonts w:ascii="Arial" w:hAnsi="Arial" w:cs="Arial"/>
          <w:sz w:val="24"/>
          <w:szCs w:val="24"/>
          <w:lang w:val="en-US"/>
        </w:rPr>
        <w:t xml:space="preserve">esearch Grant (No. RSGR1180353), </w:t>
      </w:r>
      <w:r w:rsidR="00A22148" w:rsidRPr="00C926EC">
        <w:rPr>
          <w:rFonts w:ascii="Arial" w:hAnsi="Arial" w:cs="Arial"/>
          <w:sz w:val="24"/>
          <w:szCs w:val="24"/>
          <w:lang w:val="en-GB"/>
        </w:rPr>
        <w:t>and the Spanish Ministry of Science and Innovation through the project</w:t>
      </w:r>
      <w:r w:rsidR="00A22148" w:rsidRPr="00C926EC">
        <w:rPr>
          <w:sz w:val="24"/>
          <w:szCs w:val="24"/>
          <w:lang w:val="en-US"/>
        </w:rPr>
        <w:t xml:space="preserve"> </w:t>
      </w:r>
      <w:r w:rsidR="00A22148" w:rsidRPr="00C926EC">
        <w:rPr>
          <w:rFonts w:ascii="Arial" w:hAnsi="Arial" w:cs="Arial"/>
          <w:sz w:val="24"/>
          <w:szCs w:val="24"/>
          <w:lang w:val="en-GB"/>
        </w:rPr>
        <w:t>RYC2018-024387-I</w:t>
      </w:r>
      <w:r w:rsidR="005A16F2" w:rsidRPr="00C926EC">
        <w:rPr>
          <w:rFonts w:ascii="Arial" w:hAnsi="Arial" w:cs="Arial"/>
          <w:sz w:val="24"/>
          <w:szCs w:val="24"/>
          <w:lang w:val="en-GB"/>
        </w:rPr>
        <w:t xml:space="preserve">. </w:t>
      </w:r>
    </w:p>
    <w:p w14:paraId="1C14CE18" w14:textId="16C79C81" w:rsidR="00073F0F" w:rsidRPr="00C926EC" w:rsidRDefault="005B5379" w:rsidP="0065182A">
      <w:pPr>
        <w:spacing w:line="360" w:lineRule="auto"/>
        <w:jc w:val="both"/>
        <w:rPr>
          <w:rFonts w:ascii="Arial" w:hAnsi="Arial" w:cs="Arial"/>
          <w:b/>
          <w:sz w:val="24"/>
          <w:szCs w:val="24"/>
        </w:rPr>
      </w:pPr>
      <w:proofErr w:type="spellStart"/>
      <w:r w:rsidRPr="00C926EC">
        <w:rPr>
          <w:rFonts w:ascii="Arial" w:hAnsi="Arial" w:cs="Arial"/>
          <w:b/>
          <w:sz w:val="24"/>
          <w:szCs w:val="24"/>
        </w:rPr>
        <w:t>References</w:t>
      </w:r>
      <w:proofErr w:type="spellEnd"/>
    </w:p>
    <w:p w14:paraId="39C81E19" w14:textId="1D0B97C3" w:rsidR="00F8432F" w:rsidRPr="00C926EC" w:rsidRDefault="005B5379" w:rsidP="00F8432F">
      <w:pPr>
        <w:widowControl w:val="0"/>
        <w:autoSpaceDE w:val="0"/>
        <w:autoSpaceDN w:val="0"/>
        <w:adjustRightInd w:val="0"/>
        <w:spacing w:line="360" w:lineRule="auto"/>
        <w:ind w:left="480" w:hanging="480"/>
        <w:rPr>
          <w:rFonts w:ascii="Arial" w:hAnsi="Arial" w:cs="Arial"/>
          <w:noProof/>
          <w:sz w:val="24"/>
          <w:szCs w:val="24"/>
        </w:rPr>
      </w:pPr>
      <w:r w:rsidRPr="00C926EC">
        <w:rPr>
          <w:rFonts w:ascii="Arial" w:hAnsi="Arial" w:cs="Arial"/>
          <w:sz w:val="24"/>
          <w:szCs w:val="24"/>
          <w:lang w:val="en-US"/>
        </w:rPr>
        <w:fldChar w:fldCharType="begin" w:fldLock="1"/>
      </w:r>
      <w:r w:rsidRPr="00C926EC">
        <w:rPr>
          <w:rFonts w:ascii="Arial" w:hAnsi="Arial" w:cs="Arial"/>
          <w:sz w:val="24"/>
          <w:szCs w:val="24"/>
        </w:rPr>
        <w:instrText xml:space="preserve">ADDIN Mendeley Bibliography CSL_BIBLIOGRAPHY </w:instrText>
      </w:r>
      <w:r w:rsidRPr="00C926EC">
        <w:rPr>
          <w:rFonts w:ascii="Arial" w:hAnsi="Arial" w:cs="Arial"/>
          <w:sz w:val="24"/>
          <w:szCs w:val="24"/>
          <w:lang w:val="en-US"/>
        </w:rPr>
        <w:fldChar w:fldCharType="separate"/>
      </w:r>
      <w:r w:rsidR="00F8432F" w:rsidRPr="00C926EC">
        <w:rPr>
          <w:rFonts w:ascii="Arial" w:hAnsi="Arial" w:cs="Arial"/>
          <w:noProof/>
          <w:sz w:val="24"/>
          <w:szCs w:val="24"/>
        </w:rPr>
        <w:t xml:space="preserve">Baena-Moreno, F.M., le Saché, E., Pastor-Pérez, L., Reina, T.R., 2020a. </w:t>
      </w:r>
      <w:r w:rsidR="00F8432F" w:rsidRPr="00C926EC">
        <w:rPr>
          <w:rFonts w:ascii="Arial" w:hAnsi="Arial" w:cs="Arial"/>
          <w:noProof/>
          <w:sz w:val="24"/>
          <w:szCs w:val="24"/>
          <w:lang w:val="en-US"/>
        </w:rPr>
        <w:t xml:space="preserve">Membrane-based technologies for biogas upgrading: a review. Environ. Chem. </w:t>
      </w:r>
      <w:r w:rsidR="00F8432F" w:rsidRPr="00C926EC">
        <w:rPr>
          <w:rFonts w:ascii="Arial" w:hAnsi="Arial" w:cs="Arial"/>
          <w:noProof/>
          <w:sz w:val="24"/>
          <w:szCs w:val="24"/>
        </w:rPr>
        <w:t>Lett. https://doi.org/10.1007/s10311-020-01036-3</w:t>
      </w:r>
    </w:p>
    <w:p w14:paraId="4D377208" w14:textId="77777777" w:rsidR="00F8432F" w:rsidRPr="00C926EC" w:rsidRDefault="00F8432F" w:rsidP="00F8432F">
      <w:pPr>
        <w:widowControl w:val="0"/>
        <w:autoSpaceDE w:val="0"/>
        <w:autoSpaceDN w:val="0"/>
        <w:adjustRightInd w:val="0"/>
        <w:spacing w:line="360" w:lineRule="auto"/>
        <w:ind w:left="480" w:hanging="480"/>
        <w:rPr>
          <w:rFonts w:ascii="Arial" w:hAnsi="Arial" w:cs="Arial"/>
          <w:noProof/>
          <w:sz w:val="24"/>
          <w:szCs w:val="24"/>
          <w:lang w:val="en-US"/>
        </w:rPr>
      </w:pPr>
      <w:r w:rsidRPr="00C926EC">
        <w:rPr>
          <w:rFonts w:ascii="Arial" w:hAnsi="Arial" w:cs="Arial"/>
          <w:noProof/>
          <w:sz w:val="24"/>
          <w:szCs w:val="24"/>
        </w:rPr>
        <w:t xml:space="preserve">Baena-Moreno, Francisco M., Malico, I., Marques, I.P., 2021. </w:t>
      </w:r>
      <w:r w:rsidRPr="00C926EC">
        <w:rPr>
          <w:rFonts w:ascii="Arial" w:hAnsi="Arial" w:cs="Arial"/>
          <w:noProof/>
          <w:sz w:val="24"/>
          <w:szCs w:val="24"/>
          <w:lang w:val="en-US"/>
        </w:rPr>
        <w:t>Promoting Sustainability: Wastewater Treatment Plants as a Source of Biomethane in Regions Far from a High-Pressure Grid. A Real Portuguese Case Study. Sustain. 2021, Vol. 13, Page 8933 13, 8933. https://doi.org/10.3390/SU13168933</w:t>
      </w:r>
    </w:p>
    <w:p w14:paraId="631E8BA6" w14:textId="77777777" w:rsidR="00F8432F" w:rsidRPr="00C926EC" w:rsidRDefault="00F8432F" w:rsidP="00F8432F">
      <w:pPr>
        <w:widowControl w:val="0"/>
        <w:autoSpaceDE w:val="0"/>
        <w:autoSpaceDN w:val="0"/>
        <w:adjustRightInd w:val="0"/>
        <w:spacing w:line="360" w:lineRule="auto"/>
        <w:ind w:left="480" w:hanging="480"/>
        <w:rPr>
          <w:rFonts w:ascii="Arial" w:hAnsi="Arial" w:cs="Arial"/>
          <w:noProof/>
          <w:sz w:val="24"/>
          <w:szCs w:val="24"/>
          <w:lang w:val="en-US"/>
        </w:rPr>
      </w:pPr>
      <w:r w:rsidRPr="00C926EC">
        <w:rPr>
          <w:rFonts w:ascii="Arial" w:hAnsi="Arial" w:cs="Arial"/>
          <w:noProof/>
          <w:sz w:val="24"/>
          <w:szCs w:val="24"/>
        </w:rPr>
        <w:t xml:space="preserve">Baena-Moreno, F.M., Malico, I., Rodríguez-Galán, M., Serrano, A., Fermoso, F.G., Navarrete, B., 2020b. </w:t>
      </w:r>
      <w:r w:rsidRPr="00C926EC">
        <w:rPr>
          <w:rFonts w:ascii="Arial" w:hAnsi="Arial" w:cs="Arial"/>
          <w:noProof/>
          <w:sz w:val="24"/>
          <w:szCs w:val="24"/>
          <w:lang w:val="en-US"/>
        </w:rPr>
        <w:t>The importance of governmental incentives for small biomethane plants in South Spain. Energy. https://doi.org/10.1016/j.energy.2020.118158</w:t>
      </w:r>
    </w:p>
    <w:p w14:paraId="25E04AFB" w14:textId="77777777" w:rsidR="00F8432F" w:rsidRPr="00C926EC" w:rsidRDefault="00F8432F" w:rsidP="00F8432F">
      <w:pPr>
        <w:widowControl w:val="0"/>
        <w:autoSpaceDE w:val="0"/>
        <w:autoSpaceDN w:val="0"/>
        <w:adjustRightInd w:val="0"/>
        <w:spacing w:line="360" w:lineRule="auto"/>
        <w:ind w:left="480" w:hanging="480"/>
        <w:rPr>
          <w:rFonts w:ascii="Arial" w:hAnsi="Arial" w:cs="Arial"/>
          <w:noProof/>
          <w:sz w:val="24"/>
          <w:szCs w:val="24"/>
          <w:lang w:val="en-US"/>
        </w:rPr>
      </w:pPr>
      <w:r w:rsidRPr="00C926EC">
        <w:rPr>
          <w:rFonts w:ascii="Arial" w:hAnsi="Arial" w:cs="Arial"/>
          <w:noProof/>
          <w:sz w:val="24"/>
          <w:szCs w:val="24"/>
          <w:lang w:val="en-US"/>
        </w:rPr>
        <w:t>Baena-Moreno, F.M., Pastor-Pérez, L., Wang, Q., Reina, T.R., 2020c. Bio-methane and bio-methanol co-production from biogas: A profitability analysis to explore new sustainable chemical processes. J. Clean. Prod. https://doi.org/10.1016/j.jclepro.2020.121909</w:t>
      </w:r>
    </w:p>
    <w:p w14:paraId="28A93356" w14:textId="77777777" w:rsidR="00F8432F" w:rsidRPr="00C926EC" w:rsidRDefault="00F8432F" w:rsidP="00F8432F">
      <w:pPr>
        <w:widowControl w:val="0"/>
        <w:autoSpaceDE w:val="0"/>
        <w:autoSpaceDN w:val="0"/>
        <w:adjustRightInd w:val="0"/>
        <w:spacing w:line="360" w:lineRule="auto"/>
        <w:ind w:left="480" w:hanging="480"/>
        <w:rPr>
          <w:rFonts w:ascii="Arial" w:hAnsi="Arial" w:cs="Arial"/>
          <w:noProof/>
          <w:sz w:val="24"/>
          <w:szCs w:val="24"/>
        </w:rPr>
      </w:pPr>
      <w:r w:rsidRPr="00C926EC">
        <w:rPr>
          <w:rFonts w:ascii="Arial" w:hAnsi="Arial" w:cs="Arial"/>
          <w:noProof/>
          <w:sz w:val="24"/>
          <w:szCs w:val="24"/>
          <w:lang w:val="en-US"/>
        </w:rPr>
        <w:lastRenderedPageBreak/>
        <w:t xml:space="preserve">Baena-Moreno, F.M., Pastor-Pérez, L., Zhang, Z., Reina, T.R., 2020d. Stepping towards a low-carbon economy. Formic acid from biogas as case of study. </w:t>
      </w:r>
      <w:r w:rsidRPr="00C926EC">
        <w:rPr>
          <w:rFonts w:ascii="Arial" w:hAnsi="Arial" w:cs="Arial"/>
          <w:noProof/>
          <w:sz w:val="24"/>
          <w:szCs w:val="24"/>
        </w:rPr>
        <w:t>Appl. Energy 268. https://doi.org/10.1016/j.apenergy.2020.115033</w:t>
      </w:r>
    </w:p>
    <w:p w14:paraId="7E232DE6" w14:textId="77777777" w:rsidR="00F8432F" w:rsidRPr="00C926EC" w:rsidRDefault="00F8432F" w:rsidP="00F8432F">
      <w:pPr>
        <w:widowControl w:val="0"/>
        <w:autoSpaceDE w:val="0"/>
        <w:autoSpaceDN w:val="0"/>
        <w:adjustRightInd w:val="0"/>
        <w:spacing w:line="360" w:lineRule="auto"/>
        <w:ind w:left="480" w:hanging="480"/>
        <w:rPr>
          <w:rFonts w:ascii="Arial" w:hAnsi="Arial" w:cs="Arial"/>
          <w:noProof/>
          <w:sz w:val="24"/>
          <w:szCs w:val="24"/>
          <w:lang w:val="en-US"/>
        </w:rPr>
      </w:pPr>
      <w:r w:rsidRPr="00C926EC">
        <w:rPr>
          <w:rFonts w:ascii="Arial" w:hAnsi="Arial" w:cs="Arial"/>
          <w:noProof/>
          <w:sz w:val="24"/>
          <w:szCs w:val="24"/>
        </w:rPr>
        <w:t xml:space="preserve">Baena-Moreno, F. M., Sebastia-Saez, D., Pastor-Pérez, L., Ramirez-Reina, T., 2021. </w:t>
      </w:r>
      <w:r w:rsidRPr="00C926EC">
        <w:rPr>
          <w:rFonts w:ascii="Arial" w:hAnsi="Arial" w:cs="Arial"/>
          <w:noProof/>
          <w:sz w:val="24"/>
          <w:szCs w:val="24"/>
          <w:lang w:val="en-US"/>
        </w:rPr>
        <w:t>Analysis of the potential for biogas upgrading to syngas via catalytic reforming in the United Kingdom. Renew. Sustain. Energy Rev. 144. https://doi.org/doi.org/10.1016/j.rser.2021.110939</w:t>
      </w:r>
    </w:p>
    <w:p w14:paraId="26A4D195" w14:textId="77777777" w:rsidR="00F8432F" w:rsidRPr="00C926EC" w:rsidRDefault="00F8432F" w:rsidP="00F8432F">
      <w:pPr>
        <w:widowControl w:val="0"/>
        <w:autoSpaceDE w:val="0"/>
        <w:autoSpaceDN w:val="0"/>
        <w:adjustRightInd w:val="0"/>
        <w:spacing w:line="360" w:lineRule="auto"/>
        <w:ind w:left="480" w:hanging="480"/>
        <w:rPr>
          <w:rFonts w:ascii="Arial" w:hAnsi="Arial" w:cs="Arial"/>
          <w:noProof/>
          <w:sz w:val="24"/>
          <w:szCs w:val="24"/>
          <w:lang w:val="en-US"/>
        </w:rPr>
      </w:pPr>
      <w:r w:rsidRPr="00C926EC">
        <w:rPr>
          <w:rFonts w:ascii="Arial" w:hAnsi="Arial" w:cs="Arial"/>
          <w:noProof/>
          <w:sz w:val="24"/>
          <w:szCs w:val="24"/>
        </w:rPr>
        <w:t xml:space="preserve">Baena-Moreno, F.M., Sebastia-Saez, D., Wang, Q., Reina, T.R., 2020e. </w:t>
      </w:r>
      <w:r w:rsidRPr="00C926EC">
        <w:rPr>
          <w:rFonts w:ascii="Arial" w:hAnsi="Arial" w:cs="Arial"/>
          <w:noProof/>
          <w:sz w:val="24"/>
          <w:szCs w:val="24"/>
          <w:lang w:val="en-US"/>
        </w:rPr>
        <w:t>Is the production of biofuels and bio-chemicals always profitable? Co-production of biomethane and urea from biogas as case study. Energy Convers. Manag. https://doi.org/10.1016/j.enconman.2020.113058</w:t>
      </w:r>
    </w:p>
    <w:p w14:paraId="1C0912E1" w14:textId="77777777" w:rsidR="00F8432F" w:rsidRPr="00C926EC" w:rsidRDefault="00F8432F" w:rsidP="00F8432F">
      <w:pPr>
        <w:widowControl w:val="0"/>
        <w:autoSpaceDE w:val="0"/>
        <w:autoSpaceDN w:val="0"/>
        <w:adjustRightInd w:val="0"/>
        <w:spacing w:line="360" w:lineRule="auto"/>
        <w:ind w:left="480" w:hanging="480"/>
        <w:rPr>
          <w:rFonts w:ascii="Arial" w:hAnsi="Arial" w:cs="Arial"/>
          <w:noProof/>
          <w:sz w:val="24"/>
          <w:szCs w:val="24"/>
          <w:lang w:val="en-US"/>
        </w:rPr>
      </w:pPr>
      <w:r w:rsidRPr="00C926EC">
        <w:rPr>
          <w:rFonts w:ascii="Arial" w:hAnsi="Arial" w:cs="Arial"/>
          <w:noProof/>
          <w:sz w:val="24"/>
          <w:szCs w:val="24"/>
          <w:lang w:val="en-US"/>
        </w:rPr>
        <w:t>Baena-Moreno, F.M., Zhang, Z., Zhang, X.P., Reina, T.R., 2020f. Profitability analysis of a novel configuration to synergize biogas upgrading and Power-to-Gas. Energy Convers. Manag. https://doi.org/10.1016/j.enconman.2020.113369</w:t>
      </w:r>
    </w:p>
    <w:p w14:paraId="2325FBBC" w14:textId="77777777" w:rsidR="00F8432F" w:rsidRPr="00C926EC" w:rsidRDefault="00F8432F" w:rsidP="00F8432F">
      <w:pPr>
        <w:widowControl w:val="0"/>
        <w:autoSpaceDE w:val="0"/>
        <w:autoSpaceDN w:val="0"/>
        <w:adjustRightInd w:val="0"/>
        <w:spacing w:line="360" w:lineRule="auto"/>
        <w:ind w:left="480" w:hanging="480"/>
        <w:rPr>
          <w:rFonts w:ascii="Arial" w:hAnsi="Arial" w:cs="Arial"/>
          <w:noProof/>
          <w:sz w:val="24"/>
          <w:szCs w:val="24"/>
          <w:lang w:val="en-US"/>
        </w:rPr>
      </w:pPr>
      <w:r w:rsidRPr="00C926EC">
        <w:rPr>
          <w:rFonts w:ascii="Arial" w:hAnsi="Arial" w:cs="Arial"/>
          <w:noProof/>
          <w:sz w:val="24"/>
          <w:szCs w:val="24"/>
          <w:lang w:val="en-US"/>
        </w:rPr>
        <w:t>Barbera, E., Menegon, S., Banzato, D., D’Alpaos, C., Bertucco, A., 2019. From biogas to biomethane: A process simulation-based techno-economic comparison of different upgrading technologies in the Italian context. Renew. Energy. https://doi.org/10.1016/j.renene.2018.12.052</w:t>
      </w:r>
    </w:p>
    <w:p w14:paraId="03372568" w14:textId="1DEA0D05" w:rsidR="00F8432F" w:rsidRPr="00C926EC" w:rsidRDefault="00F8432F" w:rsidP="00F8432F">
      <w:pPr>
        <w:widowControl w:val="0"/>
        <w:autoSpaceDE w:val="0"/>
        <w:autoSpaceDN w:val="0"/>
        <w:adjustRightInd w:val="0"/>
        <w:spacing w:line="360" w:lineRule="auto"/>
        <w:ind w:left="480" w:hanging="480"/>
        <w:rPr>
          <w:rFonts w:ascii="Arial" w:hAnsi="Arial" w:cs="Arial"/>
          <w:noProof/>
          <w:sz w:val="24"/>
          <w:szCs w:val="24"/>
          <w:lang w:val="en-US"/>
        </w:rPr>
      </w:pPr>
      <w:r w:rsidRPr="00C926EC">
        <w:rPr>
          <w:rFonts w:ascii="Arial" w:hAnsi="Arial" w:cs="Arial"/>
          <w:noProof/>
          <w:sz w:val="24"/>
          <w:szCs w:val="24"/>
          <w:lang w:val="en-US"/>
        </w:rPr>
        <w:t>Carbontracker, 2018. Potential future action to align EU emissions targets with Paris accord may render all coal and lignite plants unprofitable</w:t>
      </w:r>
      <w:r w:rsidR="00F514CB" w:rsidRPr="00C926EC">
        <w:rPr>
          <w:rFonts w:ascii="Arial" w:hAnsi="Arial" w:cs="Arial"/>
          <w:noProof/>
          <w:sz w:val="24"/>
          <w:szCs w:val="24"/>
          <w:lang w:val="en-US"/>
        </w:rPr>
        <w:t>.</w:t>
      </w:r>
      <w:r w:rsidRPr="00C926EC">
        <w:rPr>
          <w:rFonts w:ascii="Arial" w:hAnsi="Arial" w:cs="Arial"/>
          <w:noProof/>
          <w:sz w:val="24"/>
          <w:szCs w:val="24"/>
          <w:lang w:val="en-US"/>
        </w:rPr>
        <w:t xml:space="preserve"> https://www.carbontracker.org/eu-carbon-prices-could-double-by-2021-and-quadruple-by-2030/</w:t>
      </w:r>
    </w:p>
    <w:p w14:paraId="75A2AC8B" w14:textId="77777777" w:rsidR="00F8432F" w:rsidRPr="00C926EC" w:rsidRDefault="00F8432F" w:rsidP="00F8432F">
      <w:pPr>
        <w:widowControl w:val="0"/>
        <w:autoSpaceDE w:val="0"/>
        <w:autoSpaceDN w:val="0"/>
        <w:adjustRightInd w:val="0"/>
        <w:spacing w:line="360" w:lineRule="auto"/>
        <w:ind w:left="480" w:hanging="480"/>
        <w:rPr>
          <w:rFonts w:ascii="Arial" w:hAnsi="Arial" w:cs="Arial"/>
          <w:noProof/>
          <w:sz w:val="24"/>
          <w:szCs w:val="24"/>
          <w:lang w:val="en-US"/>
        </w:rPr>
      </w:pPr>
      <w:r w:rsidRPr="00C926EC">
        <w:rPr>
          <w:rFonts w:ascii="Arial" w:hAnsi="Arial" w:cs="Arial"/>
          <w:noProof/>
          <w:sz w:val="24"/>
          <w:szCs w:val="24"/>
          <w:lang w:val="en-US"/>
        </w:rPr>
        <w:t>Cefic &amp; ECTA, 2011. Guidelines for Measuring and Managing CO2 Emission from Freight Transport Operations.</w:t>
      </w:r>
    </w:p>
    <w:p w14:paraId="7CC23F50" w14:textId="77777777" w:rsidR="00F8432F" w:rsidRPr="00C926EC" w:rsidRDefault="00F8432F" w:rsidP="00F8432F">
      <w:pPr>
        <w:widowControl w:val="0"/>
        <w:autoSpaceDE w:val="0"/>
        <w:autoSpaceDN w:val="0"/>
        <w:adjustRightInd w:val="0"/>
        <w:spacing w:line="360" w:lineRule="auto"/>
        <w:ind w:left="480" w:hanging="480"/>
        <w:rPr>
          <w:rFonts w:ascii="Arial" w:hAnsi="Arial" w:cs="Arial"/>
          <w:noProof/>
          <w:sz w:val="24"/>
          <w:szCs w:val="24"/>
        </w:rPr>
      </w:pPr>
      <w:r w:rsidRPr="00C926EC">
        <w:rPr>
          <w:rFonts w:ascii="Arial" w:hAnsi="Arial" w:cs="Arial"/>
          <w:noProof/>
          <w:sz w:val="24"/>
          <w:szCs w:val="24"/>
          <w:lang w:val="en-US"/>
        </w:rPr>
        <w:t xml:space="preserve">Cucchiella, F., D’Adamo, I., 2016. Technical and economic analysis of biomethane: A focus on the role of subsidies. </w:t>
      </w:r>
      <w:r w:rsidRPr="00C926EC">
        <w:rPr>
          <w:rFonts w:ascii="Arial" w:hAnsi="Arial" w:cs="Arial"/>
          <w:noProof/>
          <w:sz w:val="24"/>
          <w:szCs w:val="24"/>
        </w:rPr>
        <w:t>Energy Convers. Manag. https://doi.org/10.1016/j.enconman.2016.04.058</w:t>
      </w:r>
    </w:p>
    <w:p w14:paraId="4303E9B5" w14:textId="77777777" w:rsidR="00F8432F" w:rsidRPr="00C926EC" w:rsidRDefault="00F8432F" w:rsidP="00F8432F">
      <w:pPr>
        <w:widowControl w:val="0"/>
        <w:autoSpaceDE w:val="0"/>
        <w:autoSpaceDN w:val="0"/>
        <w:adjustRightInd w:val="0"/>
        <w:spacing w:line="360" w:lineRule="auto"/>
        <w:ind w:left="480" w:hanging="480"/>
        <w:rPr>
          <w:rFonts w:ascii="Arial" w:hAnsi="Arial" w:cs="Arial"/>
          <w:noProof/>
          <w:sz w:val="24"/>
          <w:szCs w:val="24"/>
        </w:rPr>
      </w:pPr>
      <w:r w:rsidRPr="00C926EC">
        <w:rPr>
          <w:rFonts w:ascii="Arial" w:hAnsi="Arial" w:cs="Arial"/>
          <w:noProof/>
          <w:sz w:val="24"/>
          <w:szCs w:val="24"/>
        </w:rPr>
        <w:t xml:space="preserve">Cucchiella, F., D’Adamo, I., Gastaldi, M., 2019a. </w:t>
      </w:r>
      <w:r w:rsidRPr="00C926EC">
        <w:rPr>
          <w:rFonts w:ascii="Arial" w:hAnsi="Arial" w:cs="Arial"/>
          <w:noProof/>
          <w:sz w:val="24"/>
          <w:szCs w:val="24"/>
          <w:lang w:val="en-US"/>
        </w:rPr>
        <w:t xml:space="preserve">An economic analysis of biogas-biomethane chain from animal residues in Italy. </w:t>
      </w:r>
      <w:r w:rsidRPr="00C926EC">
        <w:rPr>
          <w:rFonts w:ascii="Arial" w:hAnsi="Arial" w:cs="Arial"/>
          <w:noProof/>
          <w:sz w:val="24"/>
          <w:szCs w:val="24"/>
        </w:rPr>
        <w:t xml:space="preserve">J. Clean. Prod. </w:t>
      </w:r>
      <w:r w:rsidRPr="00C926EC">
        <w:rPr>
          <w:rFonts w:ascii="Arial" w:hAnsi="Arial" w:cs="Arial"/>
          <w:noProof/>
          <w:sz w:val="24"/>
          <w:szCs w:val="24"/>
        </w:rPr>
        <w:lastRenderedPageBreak/>
        <w:t>https://doi.org/10.1016/j.jclepro.2019.05.116</w:t>
      </w:r>
    </w:p>
    <w:p w14:paraId="08299229" w14:textId="77777777" w:rsidR="00F8432F" w:rsidRPr="00C926EC" w:rsidRDefault="00F8432F" w:rsidP="00F8432F">
      <w:pPr>
        <w:widowControl w:val="0"/>
        <w:autoSpaceDE w:val="0"/>
        <w:autoSpaceDN w:val="0"/>
        <w:adjustRightInd w:val="0"/>
        <w:spacing w:line="360" w:lineRule="auto"/>
        <w:ind w:left="480" w:hanging="480"/>
        <w:rPr>
          <w:rFonts w:ascii="Arial" w:hAnsi="Arial" w:cs="Arial"/>
          <w:noProof/>
          <w:sz w:val="24"/>
          <w:szCs w:val="24"/>
          <w:lang w:val="en-US"/>
        </w:rPr>
      </w:pPr>
      <w:r w:rsidRPr="00C926EC">
        <w:rPr>
          <w:rFonts w:ascii="Arial" w:hAnsi="Arial" w:cs="Arial"/>
          <w:noProof/>
          <w:sz w:val="24"/>
          <w:szCs w:val="24"/>
        </w:rPr>
        <w:t xml:space="preserve">Cucchiella, F., D’Adamo, I., Gastaldi, M., 2019b. </w:t>
      </w:r>
      <w:r w:rsidRPr="00C926EC">
        <w:rPr>
          <w:rFonts w:ascii="Arial" w:hAnsi="Arial" w:cs="Arial"/>
          <w:noProof/>
          <w:sz w:val="24"/>
          <w:szCs w:val="24"/>
          <w:lang w:val="en-US"/>
        </w:rPr>
        <w:t>Sustainable Italian cities: The added value of biomethane from organic waste. Appl. Sci. https://doi.org/10.3390/app9112221</w:t>
      </w:r>
    </w:p>
    <w:p w14:paraId="3DD8D45C" w14:textId="77777777" w:rsidR="00F8432F" w:rsidRPr="00C926EC" w:rsidRDefault="00F8432F" w:rsidP="00F8432F">
      <w:pPr>
        <w:widowControl w:val="0"/>
        <w:autoSpaceDE w:val="0"/>
        <w:autoSpaceDN w:val="0"/>
        <w:adjustRightInd w:val="0"/>
        <w:spacing w:line="360" w:lineRule="auto"/>
        <w:ind w:left="480" w:hanging="480"/>
        <w:rPr>
          <w:rFonts w:ascii="Arial" w:hAnsi="Arial" w:cs="Arial"/>
          <w:noProof/>
          <w:sz w:val="24"/>
          <w:szCs w:val="24"/>
          <w:lang w:val="en-US"/>
        </w:rPr>
      </w:pPr>
      <w:r w:rsidRPr="00C926EC">
        <w:rPr>
          <w:rFonts w:ascii="Arial" w:hAnsi="Arial" w:cs="Arial"/>
          <w:noProof/>
          <w:sz w:val="24"/>
          <w:szCs w:val="24"/>
          <w:lang w:val="en-US"/>
        </w:rPr>
        <w:t>Cucchiella, F., D’Adamo, I., Gastaldi, M., Miliacca, M., 2018. A profitability analysis of small-scale plants for biomethane injection into the gas grid. J. Clean. Prod. https://doi.org/10.1016/j.jclepro.2018.02.243</w:t>
      </w:r>
    </w:p>
    <w:p w14:paraId="4257A05E" w14:textId="77777777" w:rsidR="00F8432F" w:rsidRPr="00C926EC" w:rsidRDefault="00F8432F" w:rsidP="00F8432F">
      <w:pPr>
        <w:widowControl w:val="0"/>
        <w:autoSpaceDE w:val="0"/>
        <w:autoSpaceDN w:val="0"/>
        <w:adjustRightInd w:val="0"/>
        <w:spacing w:line="360" w:lineRule="auto"/>
        <w:ind w:left="480" w:hanging="480"/>
        <w:rPr>
          <w:rFonts w:ascii="Arial" w:hAnsi="Arial" w:cs="Arial"/>
          <w:noProof/>
          <w:sz w:val="24"/>
          <w:szCs w:val="24"/>
          <w:lang w:val="en-US"/>
        </w:rPr>
      </w:pPr>
      <w:r w:rsidRPr="00C926EC">
        <w:rPr>
          <w:rFonts w:ascii="Arial" w:hAnsi="Arial" w:cs="Arial"/>
          <w:noProof/>
          <w:sz w:val="24"/>
          <w:szCs w:val="24"/>
          <w:lang w:val="en-US"/>
        </w:rPr>
        <w:t>D’Adamo, I., Falcone, P.M., Ferella, F., 2019. A socio-economic analysis of biomethane in the transport sector: The case of Italy. Waste Manag. https://doi.org/10.1016/j.wasman.2019.06.005</w:t>
      </w:r>
    </w:p>
    <w:p w14:paraId="36B012E9" w14:textId="77777777" w:rsidR="00F8432F" w:rsidRPr="00C926EC" w:rsidRDefault="00F8432F" w:rsidP="00F8432F">
      <w:pPr>
        <w:widowControl w:val="0"/>
        <w:autoSpaceDE w:val="0"/>
        <w:autoSpaceDN w:val="0"/>
        <w:adjustRightInd w:val="0"/>
        <w:spacing w:line="360" w:lineRule="auto"/>
        <w:ind w:left="480" w:hanging="480"/>
        <w:rPr>
          <w:rFonts w:ascii="Arial" w:hAnsi="Arial" w:cs="Arial"/>
          <w:noProof/>
          <w:sz w:val="24"/>
          <w:szCs w:val="24"/>
          <w:lang w:val="en-US"/>
        </w:rPr>
      </w:pPr>
      <w:r w:rsidRPr="00C926EC">
        <w:rPr>
          <w:rFonts w:ascii="Arial" w:hAnsi="Arial" w:cs="Arial"/>
          <w:noProof/>
          <w:sz w:val="24"/>
          <w:szCs w:val="24"/>
          <w:lang w:val="en-US"/>
        </w:rPr>
        <w:t>EBA, 2020. The contribution of the biogas and biomethane industries to medium-term greenhouse gas reduction targets and climate-neutrality by 2050. Brussels, Belgium.</w:t>
      </w:r>
    </w:p>
    <w:p w14:paraId="1BD2498A" w14:textId="23B02612" w:rsidR="00F8432F" w:rsidRPr="00C926EC" w:rsidRDefault="00F8432F" w:rsidP="00F8432F">
      <w:pPr>
        <w:widowControl w:val="0"/>
        <w:autoSpaceDE w:val="0"/>
        <w:autoSpaceDN w:val="0"/>
        <w:adjustRightInd w:val="0"/>
        <w:spacing w:line="360" w:lineRule="auto"/>
        <w:ind w:left="480" w:hanging="480"/>
        <w:rPr>
          <w:rFonts w:ascii="Arial" w:hAnsi="Arial" w:cs="Arial"/>
          <w:noProof/>
          <w:sz w:val="24"/>
          <w:szCs w:val="24"/>
          <w:lang w:val="en-US"/>
        </w:rPr>
      </w:pPr>
      <w:r w:rsidRPr="00C926EC">
        <w:rPr>
          <w:rFonts w:ascii="Arial" w:hAnsi="Arial" w:cs="Arial"/>
          <w:noProof/>
          <w:sz w:val="24"/>
          <w:szCs w:val="24"/>
          <w:lang w:val="en-US"/>
        </w:rPr>
        <w:t>Energy brokers, 2020. United Kingdom gas price forecast</w:t>
      </w:r>
      <w:r w:rsidR="00F514CB" w:rsidRPr="00C926EC">
        <w:rPr>
          <w:rFonts w:ascii="Arial" w:hAnsi="Arial" w:cs="Arial"/>
          <w:noProof/>
          <w:sz w:val="24"/>
          <w:szCs w:val="24"/>
          <w:lang w:val="en-US"/>
        </w:rPr>
        <w:t>.</w:t>
      </w:r>
      <w:r w:rsidRPr="00C926EC">
        <w:rPr>
          <w:rFonts w:ascii="Arial" w:hAnsi="Arial" w:cs="Arial"/>
          <w:noProof/>
          <w:sz w:val="24"/>
          <w:szCs w:val="24"/>
          <w:lang w:val="en-US"/>
        </w:rPr>
        <w:t xml:space="preserve"> https://www.energybrokers.co.uk/gas/historic-price-data-graph and https://www.statista.com/statistics/374970/united-kingdom-uk-gas-price-forecast/</w:t>
      </w:r>
    </w:p>
    <w:p w14:paraId="6D5C0540" w14:textId="77777777" w:rsidR="00F8432F" w:rsidRPr="00C926EC" w:rsidRDefault="00F8432F" w:rsidP="00F8432F">
      <w:pPr>
        <w:widowControl w:val="0"/>
        <w:autoSpaceDE w:val="0"/>
        <w:autoSpaceDN w:val="0"/>
        <w:adjustRightInd w:val="0"/>
        <w:spacing w:line="360" w:lineRule="auto"/>
        <w:ind w:left="480" w:hanging="480"/>
        <w:rPr>
          <w:rFonts w:ascii="Arial" w:hAnsi="Arial" w:cs="Arial"/>
          <w:noProof/>
          <w:sz w:val="24"/>
          <w:szCs w:val="24"/>
          <w:lang w:val="en-US"/>
        </w:rPr>
      </w:pPr>
      <w:r w:rsidRPr="00C926EC">
        <w:rPr>
          <w:rFonts w:ascii="Arial" w:hAnsi="Arial" w:cs="Arial"/>
          <w:noProof/>
          <w:sz w:val="24"/>
          <w:szCs w:val="24"/>
          <w:lang w:val="en-US"/>
        </w:rPr>
        <w:t>Europe Union, 2019. Orientations towards the first Strategic Plan for Horizon Europe.</w:t>
      </w:r>
    </w:p>
    <w:p w14:paraId="7E426B72" w14:textId="73F228DD" w:rsidR="00F8432F" w:rsidRPr="00C926EC" w:rsidRDefault="00F8432F" w:rsidP="00F8432F">
      <w:pPr>
        <w:widowControl w:val="0"/>
        <w:autoSpaceDE w:val="0"/>
        <w:autoSpaceDN w:val="0"/>
        <w:adjustRightInd w:val="0"/>
        <w:spacing w:line="360" w:lineRule="auto"/>
        <w:ind w:left="480" w:hanging="480"/>
        <w:rPr>
          <w:rFonts w:ascii="Arial" w:hAnsi="Arial" w:cs="Arial"/>
          <w:noProof/>
          <w:sz w:val="24"/>
          <w:szCs w:val="24"/>
          <w:lang w:val="en-US"/>
        </w:rPr>
      </w:pPr>
      <w:r w:rsidRPr="00C926EC">
        <w:rPr>
          <w:rFonts w:ascii="Arial" w:hAnsi="Arial" w:cs="Arial"/>
          <w:noProof/>
          <w:sz w:val="24"/>
          <w:szCs w:val="24"/>
          <w:lang w:val="en-US"/>
        </w:rPr>
        <w:t>European Biogas Association, 2021. European Biomethane Map 2020</w:t>
      </w:r>
      <w:r w:rsidR="00F514CB" w:rsidRPr="00C926EC">
        <w:rPr>
          <w:rFonts w:ascii="Arial" w:hAnsi="Arial" w:cs="Arial"/>
          <w:noProof/>
          <w:sz w:val="24"/>
          <w:szCs w:val="24"/>
          <w:lang w:val="en-US"/>
        </w:rPr>
        <w:t>.</w:t>
      </w:r>
      <w:r w:rsidRPr="00C926EC">
        <w:rPr>
          <w:rFonts w:ascii="Arial" w:hAnsi="Arial" w:cs="Arial"/>
          <w:noProof/>
          <w:sz w:val="24"/>
          <w:szCs w:val="24"/>
          <w:lang w:val="en-US"/>
        </w:rPr>
        <w:t xml:space="preserve"> https://www.europeanbiogas.eu/the-european-biomethane-map-2020-shows-a-51-increase-of-biomethane-plants-in-europe-in-two-years/</w:t>
      </w:r>
    </w:p>
    <w:p w14:paraId="5520F6B7" w14:textId="77777777" w:rsidR="00F8432F" w:rsidRPr="00C926EC" w:rsidRDefault="00F8432F" w:rsidP="00F8432F">
      <w:pPr>
        <w:widowControl w:val="0"/>
        <w:autoSpaceDE w:val="0"/>
        <w:autoSpaceDN w:val="0"/>
        <w:adjustRightInd w:val="0"/>
        <w:spacing w:line="360" w:lineRule="auto"/>
        <w:ind w:left="480" w:hanging="480"/>
        <w:rPr>
          <w:rFonts w:ascii="Arial" w:hAnsi="Arial" w:cs="Arial"/>
          <w:noProof/>
          <w:sz w:val="24"/>
          <w:szCs w:val="24"/>
          <w:lang w:val="en-US"/>
        </w:rPr>
      </w:pPr>
      <w:r w:rsidRPr="00C926EC">
        <w:rPr>
          <w:rFonts w:ascii="Arial" w:hAnsi="Arial" w:cs="Arial"/>
          <w:noProof/>
          <w:sz w:val="24"/>
          <w:szCs w:val="24"/>
        </w:rPr>
        <w:t xml:space="preserve">Ferella, F., Cucchiella, F., D’Adamo, I., Gallucci, K., 2019. </w:t>
      </w:r>
      <w:r w:rsidRPr="00C926EC">
        <w:rPr>
          <w:rFonts w:ascii="Arial" w:hAnsi="Arial" w:cs="Arial"/>
          <w:noProof/>
          <w:sz w:val="24"/>
          <w:szCs w:val="24"/>
          <w:lang w:val="en-US"/>
        </w:rPr>
        <w:t>A techno-economic assessment of biogas upgrading in a developed market. J. Clean. Prod. https://doi.org/10.1016/j.jclepro.2018.11.073</w:t>
      </w:r>
    </w:p>
    <w:p w14:paraId="6CA59F86" w14:textId="77777777" w:rsidR="00F8432F" w:rsidRPr="00C926EC" w:rsidRDefault="00F8432F" w:rsidP="00F8432F">
      <w:pPr>
        <w:widowControl w:val="0"/>
        <w:autoSpaceDE w:val="0"/>
        <w:autoSpaceDN w:val="0"/>
        <w:adjustRightInd w:val="0"/>
        <w:spacing w:line="360" w:lineRule="auto"/>
        <w:ind w:left="480" w:hanging="480"/>
        <w:rPr>
          <w:rFonts w:ascii="Arial" w:hAnsi="Arial" w:cs="Arial"/>
          <w:noProof/>
          <w:sz w:val="24"/>
          <w:szCs w:val="24"/>
          <w:lang w:val="en-US"/>
        </w:rPr>
      </w:pPr>
      <w:r w:rsidRPr="00C926EC">
        <w:rPr>
          <w:rFonts w:ascii="Arial" w:hAnsi="Arial" w:cs="Arial"/>
          <w:noProof/>
          <w:sz w:val="24"/>
          <w:szCs w:val="24"/>
          <w:lang w:val="en-US"/>
        </w:rPr>
        <w:t>Giuntoli, J., Agostini, A., Edwards, R., Marelli, L., 2017. Solid and gaseous bioenergy pathways: input values and GHG emissions. https://doi.org/10.2790/27486</w:t>
      </w:r>
    </w:p>
    <w:p w14:paraId="28E5B7BD" w14:textId="77777777" w:rsidR="00F8432F" w:rsidRPr="00C926EC" w:rsidRDefault="00F8432F" w:rsidP="00F8432F">
      <w:pPr>
        <w:widowControl w:val="0"/>
        <w:autoSpaceDE w:val="0"/>
        <w:autoSpaceDN w:val="0"/>
        <w:adjustRightInd w:val="0"/>
        <w:spacing w:line="360" w:lineRule="auto"/>
        <w:ind w:left="480" w:hanging="480"/>
        <w:rPr>
          <w:rFonts w:ascii="Arial" w:hAnsi="Arial" w:cs="Arial"/>
          <w:noProof/>
          <w:sz w:val="24"/>
          <w:szCs w:val="24"/>
          <w:lang w:val="en-US"/>
        </w:rPr>
      </w:pPr>
      <w:r w:rsidRPr="00C926EC">
        <w:rPr>
          <w:rFonts w:ascii="Arial" w:hAnsi="Arial" w:cs="Arial"/>
          <w:noProof/>
          <w:sz w:val="24"/>
          <w:szCs w:val="24"/>
        </w:rPr>
        <w:t xml:space="preserve">González-Arias, J., Fernández, C., Rosas, J.G., Bernal, M.P., Clemente, R., </w:t>
      </w:r>
      <w:r w:rsidRPr="00C926EC">
        <w:rPr>
          <w:rFonts w:ascii="Arial" w:hAnsi="Arial" w:cs="Arial"/>
          <w:noProof/>
          <w:sz w:val="24"/>
          <w:szCs w:val="24"/>
        </w:rPr>
        <w:lastRenderedPageBreak/>
        <w:t xml:space="preserve">Sánchez, M.E., Gómez, X., 2020. </w:t>
      </w:r>
      <w:r w:rsidRPr="00C926EC">
        <w:rPr>
          <w:rFonts w:ascii="Arial" w:hAnsi="Arial" w:cs="Arial"/>
          <w:noProof/>
          <w:sz w:val="24"/>
          <w:szCs w:val="24"/>
          <w:lang w:val="en-US"/>
        </w:rPr>
        <w:t>Integrating Anaerobic Digestion of Pig Slurry and Thermal Valorisation of Biomass. Waste and Biomass Valorization 11, 6125–6137. https://doi.org/10.1007/s12649-019-00873-w</w:t>
      </w:r>
    </w:p>
    <w:p w14:paraId="0FC6A268" w14:textId="77777777" w:rsidR="00F8432F" w:rsidRPr="00C926EC" w:rsidRDefault="00F8432F" w:rsidP="00F8432F">
      <w:pPr>
        <w:widowControl w:val="0"/>
        <w:autoSpaceDE w:val="0"/>
        <w:autoSpaceDN w:val="0"/>
        <w:adjustRightInd w:val="0"/>
        <w:spacing w:line="360" w:lineRule="auto"/>
        <w:ind w:left="480" w:hanging="480"/>
        <w:rPr>
          <w:rFonts w:ascii="Arial" w:hAnsi="Arial" w:cs="Arial"/>
          <w:noProof/>
          <w:sz w:val="24"/>
          <w:szCs w:val="24"/>
          <w:lang w:val="en-US"/>
        </w:rPr>
      </w:pPr>
      <w:r w:rsidRPr="00C926EC">
        <w:rPr>
          <w:rFonts w:ascii="Arial" w:hAnsi="Arial" w:cs="Arial"/>
          <w:noProof/>
          <w:sz w:val="24"/>
          <w:szCs w:val="24"/>
          <w:lang w:val="en-US"/>
        </w:rPr>
        <w:t>González-Arias, Judith, Gil, M.V., Fernández, R.Á., Martínez, E.J., Fernández, C., Papaharalabos, G., Gómez, X., 2020. Integrating anaerobic digestion and pyrolysis for treating digestates derived from sewage sludge and fat wastes. Environ. Sci. Pollut. Res. https://doi.org/10.1007/s11356-020-09461-1</w:t>
      </w:r>
    </w:p>
    <w:p w14:paraId="525133F7" w14:textId="77777777" w:rsidR="00F8432F" w:rsidRPr="00C926EC" w:rsidRDefault="00F8432F" w:rsidP="00F8432F">
      <w:pPr>
        <w:widowControl w:val="0"/>
        <w:autoSpaceDE w:val="0"/>
        <w:autoSpaceDN w:val="0"/>
        <w:adjustRightInd w:val="0"/>
        <w:spacing w:line="360" w:lineRule="auto"/>
        <w:ind w:left="480" w:hanging="480"/>
        <w:rPr>
          <w:rFonts w:ascii="Arial" w:hAnsi="Arial" w:cs="Arial"/>
          <w:noProof/>
          <w:sz w:val="24"/>
          <w:szCs w:val="24"/>
          <w:lang w:val="en-US"/>
        </w:rPr>
      </w:pPr>
      <w:r w:rsidRPr="00C926EC">
        <w:rPr>
          <w:rFonts w:ascii="Arial" w:hAnsi="Arial" w:cs="Arial"/>
          <w:noProof/>
          <w:sz w:val="24"/>
          <w:szCs w:val="24"/>
          <w:lang w:val="en-US"/>
        </w:rPr>
        <w:t>Gustafsson, M., Svensson, N., 2021. Cleaner heavy transports – Environmental and economic analysis of liquefied natural gas and biomethane. J. Clean. Prod. 278, 123535. https://doi.org/10.1016/j.jclepro.2020.123535</w:t>
      </w:r>
    </w:p>
    <w:p w14:paraId="10436FD0" w14:textId="77777777" w:rsidR="00F8432F" w:rsidRPr="00C926EC" w:rsidRDefault="00F8432F" w:rsidP="00F8432F">
      <w:pPr>
        <w:widowControl w:val="0"/>
        <w:autoSpaceDE w:val="0"/>
        <w:autoSpaceDN w:val="0"/>
        <w:adjustRightInd w:val="0"/>
        <w:spacing w:line="360" w:lineRule="auto"/>
        <w:ind w:left="480" w:hanging="480"/>
        <w:rPr>
          <w:rFonts w:ascii="Arial" w:hAnsi="Arial" w:cs="Arial"/>
          <w:noProof/>
          <w:sz w:val="24"/>
          <w:szCs w:val="24"/>
          <w:lang w:val="en-US"/>
        </w:rPr>
      </w:pPr>
      <w:r w:rsidRPr="00C926EC">
        <w:rPr>
          <w:rFonts w:ascii="Arial" w:hAnsi="Arial" w:cs="Arial"/>
          <w:noProof/>
          <w:sz w:val="24"/>
          <w:szCs w:val="24"/>
          <w:lang w:val="en-US"/>
        </w:rPr>
        <w:t>Hagos, D.A., Ahlgren, E.O., 2018. Well-to-wheel assessment of natural gas vehicles and their fuel supply infrastructures – Perspectives on gas in transport in Denmark. Transp. Res. Part D Transp. Environ. 65, 14–35. https://doi.org/10.1016/j.trd.2018.07.018</w:t>
      </w:r>
    </w:p>
    <w:p w14:paraId="06253351" w14:textId="77777777" w:rsidR="00F8432F" w:rsidRPr="00C926EC" w:rsidRDefault="00F8432F" w:rsidP="00F8432F">
      <w:pPr>
        <w:widowControl w:val="0"/>
        <w:autoSpaceDE w:val="0"/>
        <w:autoSpaceDN w:val="0"/>
        <w:adjustRightInd w:val="0"/>
        <w:spacing w:line="360" w:lineRule="auto"/>
        <w:ind w:left="480" w:hanging="480"/>
        <w:rPr>
          <w:rFonts w:ascii="Arial" w:hAnsi="Arial" w:cs="Arial"/>
          <w:noProof/>
          <w:sz w:val="24"/>
          <w:szCs w:val="24"/>
          <w:lang w:val="en-US"/>
        </w:rPr>
      </w:pPr>
      <w:r w:rsidRPr="00C926EC">
        <w:rPr>
          <w:rFonts w:ascii="Arial" w:hAnsi="Arial" w:cs="Arial"/>
          <w:noProof/>
          <w:sz w:val="24"/>
          <w:szCs w:val="24"/>
          <w:lang w:val="en-US"/>
        </w:rPr>
        <w:t>Hoo, P.Y., Hashim, H., Ho, W.S., 2020. Towards circular economy: Economic feasibility of waste to biomethane injection through proposed feed-in tariff. J. Clean. Prod. 270, 122160. https://doi.org/10.1016/j.jclepro.2020.122160</w:t>
      </w:r>
    </w:p>
    <w:p w14:paraId="5C2E591B" w14:textId="77777777" w:rsidR="00F8432F" w:rsidRPr="00C926EC" w:rsidRDefault="00F8432F" w:rsidP="00F8432F">
      <w:pPr>
        <w:widowControl w:val="0"/>
        <w:autoSpaceDE w:val="0"/>
        <w:autoSpaceDN w:val="0"/>
        <w:adjustRightInd w:val="0"/>
        <w:spacing w:line="360" w:lineRule="auto"/>
        <w:ind w:left="480" w:hanging="480"/>
        <w:rPr>
          <w:rFonts w:ascii="Arial" w:hAnsi="Arial" w:cs="Arial"/>
          <w:noProof/>
          <w:sz w:val="24"/>
          <w:szCs w:val="24"/>
          <w:lang w:val="en-US"/>
        </w:rPr>
      </w:pPr>
      <w:r w:rsidRPr="00C926EC">
        <w:rPr>
          <w:rFonts w:ascii="Arial" w:hAnsi="Arial" w:cs="Arial"/>
          <w:noProof/>
          <w:sz w:val="24"/>
          <w:szCs w:val="24"/>
          <w:lang w:val="en-US"/>
        </w:rPr>
        <w:t>Kingdom, O. for N.S. of U., 2020. Index of Labour Costs per Hour, UK: October to December 2019. London.</w:t>
      </w:r>
    </w:p>
    <w:p w14:paraId="791D40DD" w14:textId="77777777" w:rsidR="00F8432F" w:rsidRPr="00C926EC" w:rsidRDefault="00F8432F" w:rsidP="00F8432F">
      <w:pPr>
        <w:widowControl w:val="0"/>
        <w:autoSpaceDE w:val="0"/>
        <w:autoSpaceDN w:val="0"/>
        <w:adjustRightInd w:val="0"/>
        <w:spacing w:line="360" w:lineRule="auto"/>
        <w:ind w:left="480" w:hanging="480"/>
        <w:rPr>
          <w:rFonts w:ascii="Arial" w:hAnsi="Arial" w:cs="Arial"/>
          <w:noProof/>
          <w:sz w:val="24"/>
          <w:szCs w:val="24"/>
          <w:lang w:val="en-US"/>
        </w:rPr>
      </w:pPr>
      <w:r w:rsidRPr="00C926EC">
        <w:rPr>
          <w:rFonts w:ascii="Arial" w:hAnsi="Arial" w:cs="Arial"/>
          <w:noProof/>
          <w:sz w:val="24"/>
          <w:szCs w:val="24"/>
          <w:lang w:val="en-US"/>
        </w:rPr>
        <w:t>Kvist, T., Aryal, N., 2019. Methane loss from commercially operating biogas upgrading plants. Waste Manag. https://doi.org/10.1016/j.wasman.2019.02.023</w:t>
      </w:r>
    </w:p>
    <w:p w14:paraId="724E593D" w14:textId="40751024" w:rsidR="00F8432F" w:rsidRPr="00C926EC" w:rsidRDefault="00F8432F" w:rsidP="00F8432F">
      <w:pPr>
        <w:widowControl w:val="0"/>
        <w:autoSpaceDE w:val="0"/>
        <w:autoSpaceDN w:val="0"/>
        <w:adjustRightInd w:val="0"/>
        <w:spacing w:line="360" w:lineRule="auto"/>
        <w:ind w:left="480" w:hanging="480"/>
        <w:rPr>
          <w:rFonts w:ascii="Arial" w:hAnsi="Arial" w:cs="Arial"/>
          <w:noProof/>
          <w:sz w:val="24"/>
          <w:szCs w:val="24"/>
          <w:lang w:val="en-US"/>
        </w:rPr>
      </w:pPr>
      <w:r w:rsidRPr="00C926EC">
        <w:rPr>
          <w:rFonts w:ascii="Arial" w:hAnsi="Arial" w:cs="Arial"/>
          <w:noProof/>
          <w:sz w:val="24"/>
          <w:szCs w:val="24"/>
          <w:lang w:val="en-US"/>
        </w:rPr>
        <w:t>Lombardi, L., Carnevale, E., 2013. Economic evaluations of an innovative biogas upgrading method with CO2</w:t>
      </w:r>
      <w:r w:rsidR="00F514CB" w:rsidRPr="00C926EC">
        <w:rPr>
          <w:rFonts w:ascii="Arial" w:hAnsi="Arial" w:cs="Arial"/>
          <w:noProof/>
          <w:sz w:val="24"/>
          <w:szCs w:val="24"/>
          <w:lang w:val="en-US"/>
        </w:rPr>
        <w:t xml:space="preserve"> </w:t>
      </w:r>
      <w:r w:rsidRPr="00C926EC">
        <w:rPr>
          <w:rFonts w:ascii="Arial" w:hAnsi="Arial" w:cs="Arial"/>
          <w:noProof/>
          <w:sz w:val="24"/>
          <w:szCs w:val="24"/>
          <w:lang w:val="en-US"/>
        </w:rPr>
        <w:t>storage. Energy 62, 88–94. https://doi.org/10.1016/j.energy.2013.02.066</w:t>
      </w:r>
    </w:p>
    <w:p w14:paraId="42C27C36" w14:textId="77777777" w:rsidR="00F8432F" w:rsidRPr="00C926EC" w:rsidRDefault="00F8432F" w:rsidP="00F8432F">
      <w:pPr>
        <w:widowControl w:val="0"/>
        <w:autoSpaceDE w:val="0"/>
        <w:autoSpaceDN w:val="0"/>
        <w:adjustRightInd w:val="0"/>
        <w:spacing w:line="360" w:lineRule="auto"/>
        <w:ind w:left="480" w:hanging="480"/>
        <w:rPr>
          <w:rFonts w:ascii="Arial" w:hAnsi="Arial" w:cs="Arial"/>
          <w:noProof/>
          <w:sz w:val="24"/>
          <w:szCs w:val="24"/>
          <w:lang w:val="en-US"/>
        </w:rPr>
      </w:pPr>
      <w:r w:rsidRPr="00C926EC">
        <w:rPr>
          <w:rFonts w:ascii="Arial" w:hAnsi="Arial" w:cs="Arial"/>
          <w:noProof/>
          <w:sz w:val="24"/>
          <w:szCs w:val="24"/>
          <w:lang w:val="en-US"/>
        </w:rPr>
        <w:t>Magazzino, C., Mele, M., Schneider, N., 2020. The relationship between municipal solid waste and greenhouse gas emissions: Evidence from Switzerland. Waste Manag. https://doi.org/10.1016/j.wasman.2020.05.033</w:t>
      </w:r>
    </w:p>
    <w:p w14:paraId="3A23F19E" w14:textId="77777777" w:rsidR="00F8432F" w:rsidRPr="00C926EC" w:rsidRDefault="00F8432F" w:rsidP="00F8432F">
      <w:pPr>
        <w:widowControl w:val="0"/>
        <w:autoSpaceDE w:val="0"/>
        <w:autoSpaceDN w:val="0"/>
        <w:adjustRightInd w:val="0"/>
        <w:spacing w:line="360" w:lineRule="auto"/>
        <w:ind w:left="480" w:hanging="480"/>
        <w:rPr>
          <w:rFonts w:ascii="Arial" w:hAnsi="Arial" w:cs="Arial"/>
          <w:noProof/>
          <w:sz w:val="24"/>
          <w:szCs w:val="24"/>
          <w:lang w:val="en-US"/>
        </w:rPr>
      </w:pPr>
      <w:r w:rsidRPr="00C926EC">
        <w:rPr>
          <w:rFonts w:ascii="Arial" w:hAnsi="Arial" w:cs="Arial"/>
          <w:noProof/>
          <w:sz w:val="24"/>
          <w:szCs w:val="24"/>
          <w:lang w:val="en-US"/>
        </w:rPr>
        <w:lastRenderedPageBreak/>
        <w:t>Majer, S., Oehmichen, K., Kirchmeyr, F., Scheidl, S., 2015. Methodology for the calculation and certification of GHG emission caused by the production of biomethane.</w:t>
      </w:r>
    </w:p>
    <w:p w14:paraId="0FF9179D" w14:textId="77777777" w:rsidR="00F8432F" w:rsidRPr="00C926EC" w:rsidRDefault="00F8432F" w:rsidP="00F8432F">
      <w:pPr>
        <w:widowControl w:val="0"/>
        <w:autoSpaceDE w:val="0"/>
        <w:autoSpaceDN w:val="0"/>
        <w:adjustRightInd w:val="0"/>
        <w:spacing w:line="360" w:lineRule="auto"/>
        <w:ind w:left="480" w:hanging="480"/>
        <w:rPr>
          <w:rFonts w:ascii="Arial" w:hAnsi="Arial" w:cs="Arial"/>
          <w:noProof/>
          <w:sz w:val="24"/>
          <w:szCs w:val="24"/>
          <w:lang w:val="en-US"/>
        </w:rPr>
      </w:pPr>
      <w:r w:rsidRPr="00C926EC">
        <w:rPr>
          <w:rFonts w:ascii="Arial" w:hAnsi="Arial" w:cs="Arial"/>
          <w:noProof/>
          <w:sz w:val="24"/>
          <w:szCs w:val="24"/>
          <w:lang w:val="en-US"/>
        </w:rPr>
        <w:t>Marazza, D., Macrelli, S., D’Angeli, M., Righi, S., Hornung, A., Contin, A., 2019. Greenhouse gas savings and energy balance of sewage sludge treated through an enhanced intermediate pyrolysis screw reactor combined with a reforming process. Waste Manag. https://doi.org/10.1016/j.wasman.2019.04.054</w:t>
      </w:r>
    </w:p>
    <w:p w14:paraId="620B9403" w14:textId="77777777" w:rsidR="00F8432F" w:rsidRPr="00C926EC" w:rsidRDefault="00F8432F" w:rsidP="00F8432F">
      <w:pPr>
        <w:widowControl w:val="0"/>
        <w:autoSpaceDE w:val="0"/>
        <w:autoSpaceDN w:val="0"/>
        <w:adjustRightInd w:val="0"/>
        <w:spacing w:line="360" w:lineRule="auto"/>
        <w:ind w:left="480" w:hanging="480"/>
        <w:rPr>
          <w:rFonts w:ascii="Arial" w:hAnsi="Arial" w:cs="Arial"/>
          <w:noProof/>
          <w:sz w:val="24"/>
          <w:szCs w:val="24"/>
          <w:lang w:val="en-US"/>
        </w:rPr>
      </w:pPr>
      <w:r w:rsidRPr="00C926EC">
        <w:rPr>
          <w:rFonts w:ascii="Arial" w:hAnsi="Arial" w:cs="Arial"/>
          <w:noProof/>
          <w:sz w:val="24"/>
          <w:szCs w:val="24"/>
          <w:lang w:val="en-US"/>
        </w:rPr>
        <w:t>NNFCC, 2020. The Official Information Portal on Anaerobic Digestion.</w:t>
      </w:r>
    </w:p>
    <w:p w14:paraId="713A16D8" w14:textId="77777777" w:rsidR="00F8432F" w:rsidRPr="00C926EC" w:rsidRDefault="00F8432F" w:rsidP="00F8432F">
      <w:pPr>
        <w:widowControl w:val="0"/>
        <w:autoSpaceDE w:val="0"/>
        <w:autoSpaceDN w:val="0"/>
        <w:adjustRightInd w:val="0"/>
        <w:spacing w:line="360" w:lineRule="auto"/>
        <w:ind w:left="480" w:hanging="480"/>
        <w:rPr>
          <w:rFonts w:ascii="Arial" w:hAnsi="Arial" w:cs="Arial"/>
          <w:noProof/>
          <w:sz w:val="24"/>
          <w:szCs w:val="24"/>
        </w:rPr>
      </w:pPr>
      <w:r w:rsidRPr="00C926EC">
        <w:rPr>
          <w:rFonts w:ascii="Arial" w:hAnsi="Arial" w:cs="Arial"/>
          <w:noProof/>
          <w:sz w:val="24"/>
          <w:szCs w:val="24"/>
          <w:lang w:val="sv-SE"/>
        </w:rPr>
        <w:t xml:space="preserve">Pääkkönen, A., Tolvanen, H., Rintala, J., 2018. </w:t>
      </w:r>
      <w:r w:rsidRPr="00C926EC">
        <w:rPr>
          <w:rFonts w:ascii="Arial" w:hAnsi="Arial" w:cs="Arial"/>
          <w:noProof/>
          <w:sz w:val="24"/>
          <w:szCs w:val="24"/>
          <w:lang w:val="en-US"/>
        </w:rPr>
        <w:t xml:space="preserve">Techno-economic analysis of a power to biogas system operated based on fluctuating electricity price. </w:t>
      </w:r>
      <w:r w:rsidRPr="00C926EC">
        <w:rPr>
          <w:rFonts w:ascii="Arial" w:hAnsi="Arial" w:cs="Arial"/>
          <w:noProof/>
          <w:sz w:val="24"/>
          <w:szCs w:val="24"/>
        </w:rPr>
        <w:t>Renew. Energy 117, 166–174. https://doi.org/10.1016/j.renene.2017.10.031</w:t>
      </w:r>
    </w:p>
    <w:p w14:paraId="5C8B61EA" w14:textId="77777777" w:rsidR="00F8432F" w:rsidRPr="00C926EC" w:rsidRDefault="00F8432F" w:rsidP="00F8432F">
      <w:pPr>
        <w:widowControl w:val="0"/>
        <w:autoSpaceDE w:val="0"/>
        <w:autoSpaceDN w:val="0"/>
        <w:adjustRightInd w:val="0"/>
        <w:spacing w:line="360" w:lineRule="auto"/>
        <w:ind w:left="480" w:hanging="480"/>
        <w:rPr>
          <w:rFonts w:ascii="Arial" w:hAnsi="Arial" w:cs="Arial"/>
          <w:noProof/>
          <w:sz w:val="24"/>
          <w:szCs w:val="24"/>
          <w:lang w:val="en-US"/>
        </w:rPr>
      </w:pPr>
      <w:r w:rsidRPr="00C926EC">
        <w:rPr>
          <w:rFonts w:ascii="Arial" w:hAnsi="Arial" w:cs="Arial"/>
          <w:noProof/>
          <w:sz w:val="24"/>
          <w:szCs w:val="24"/>
        </w:rPr>
        <w:t xml:space="preserve">Pablo-Romero, M. del P., Sánchez-Braza, A., Salvador-Ponce, J., Sánchez-Labrador, N., 2017. </w:t>
      </w:r>
      <w:r w:rsidRPr="00C926EC">
        <w:rPr>
          <w:rFonts w:ascii="Arial" w:hAnsi="Arial" w:cs="Arial"/>
          <w:noProof/>
          <w:sz w:val="24"/>
          <w:szCs w:val="24"/>
          <w:lang w:val="en-US"/>
        </w:rPr>
        <w:t>An overview of feed-in tariffs, premiums and tenders to promote electricity from biogas in the EU-28. Renew. Sustain. Energy Rev. https://doi.org/10.1016/j.rser.2017.01.132</w:t>
      </w:r>
    </w:p>
    <w:p w14:paraId="6A383B2D" w14:textId="77777777" w:rsidR="00F8432F" w:rsidRPr="00C926EC" w:rsidRDefault="00F8432F" w:rsidP="00F8432F">
      <w:pPr>
        <w:widowControl w:val="0"/>
        <w:autoSpaceDE w:val="0"/>
        <w:autoSpaceDN w:val="0"/>
        <w:adjustRightInd w:val="0"/>
        <w:spacing w:line="360" w:lineRule="auto"/>
        <w:ind w:left="480" w:hanging="480"/>
        <w:rPr>
          <w:rFonts w:ascii="Arial" w:hAnsi="Arial" w:cs="Arial"/>
          <w:noProof/>
          <w:sz w:val="24"/>
          <w:szCs w:val="24"/>
          <w:lang w:val="en-US"/>
        </w:rPr>
      </w:pPr>
      <w:r w:rsidRPr="00C926EC">
        <w:rPr>
          <w:rFonts w:ascii="Arial" w:hAnsi="Arial" w:cs="Arial"/>
          <w:noProof/>
          <w:sz w:val="24"/>
          <w:szCs w:val="24"/>
          <w:lang w:val="en-US"/>
        </w:rPr>
        <w:t>Pérez-Fortes, M., Schöneberger, J.C., Boulamanti, A., Tzimas, E., 2016. Methanol synthesis using captured CO2 as raw material: Techno-economic and environmental assessment. Appl. Energy. https://doi.org/10.1016/j.apenergy.2015.07.067</w:t>
      </w:r>
    </w:p>
    <w:p w14:paraId="0A432024" w14:textId="3EC8EF3E" w:rsidR="00F8432F" w:rsidRPr="00C926EC" w:rsidRDefault="00F8432F" w:rsidP="00F8432F">
      <w:pPr>
        <w:widowControl w:val="0"/>
        <w:autoSpaceDE w:val="0"/>
        <w:autoSpaceDN w:val="0"/>
        <w:adjustRightInd w:val="0"/>
        <w:spacing w:line="360" w:lineRule="auto"/>
        <w:ind w:left="480" w:hanging="480"/>
        <w:rPr>
          <w:rFonts w:ascii="Arial" w:hAnsi="Arial" w:cs="Arial"/>
          <w:noProof/>
          <w:sz w:val="24"/>
          <w:szCs w:val="24"/>
          <w:lang w:val="en-US"/>
        </w:rPr>
      </w:pPr>
      <w:r w:rsidRPr="00C926EC">
        <w:rPr>
          <w:rFonts w:ascii="Arial" w:hAnsi="Arial" w:cs="Arial"/>
          <w:noProof/>
          <w:sz w:val="24"/>
          <w:szCs w:val="24"/>
          <w:lang w:val="en-US"/>
        </w:rPr>
        <w:t>PORDATA, 2019. Electricity prices for households and industrial users (Euro/ECU). Fund. Fr. Man. dos Santos. https://www.pordata.pt/en/Europe/Electricity+prices+for+households+and+industrial+users+(Euro+ECU)-1477.</w:t>
      </w:r>
    </w:p>
    <w:p w14:paraId="4C34C30B" w14:textId="77777777" w:rsidR="00F8432F" w:rsidRPr="00C926EC" w:rsidRDefault="00F8432F" w:rsidP="00F8432F">
      <w:pPr>
        <w:widowControl w:val="0"/>
        <w:autoSpaceDE w:val="0"/>
        <w:autoSpaceDN w:val="0"/>
        <w:adjustRightInd w:val="0"/>
        <w:spacing w:line="360" w:lineRule="auto"/>
        <w:ind w:left="480" w:hanging="480"/>
        <w:rPr>
          <w:rFonts w:ascii="Arial" w:hAnsi="Arial" w:cs="Arial"/>
          <w:noProof/>
          <w:sz w:val="24"/>
          <w:szCs w:val="24"/>
          <w:lang w:val="en-US"/>
        </w:rPr>
      </w:pPr>
      <w:r w:rsidRPr="00C926EC">
        <w:rPr>
          <w:rFonts w:ascii="Arial" w:hAnsi="Arial" w:cs="Arial"/>
          <w:noProof/>
          <w:sz w:val="24"/>
          <w:szCs w:val="24"/>
        </w:rPr>
        <w:t xml:space="preserve">Rasi, S., Timonen, K., Joensuu, K., Regina, K., Virkajärvi, P., Heusala, H., Tampio, E., Luostarinen, S., 2020. </w:t>
      </w:r>
      <w:r w:rsidRPr="00C926EC">
        <w:rPr>
          <w:rFonts w:ascii="Arial" w:hAnsi="Arial" w:cs="Arial"/>
          <w:noProof/>
          <w:sz w:val="24"/>
          <w:szCs w:val="24"/>
          <w:lang w:val="en-US"/>
        </w:rPr>
        <w:t>Sustainability of Vehicle Fuel Biomethane Produced from Grass Silage in Finland. Sustain. 2020, Vol. 12, Page 3994 12, 3994. https://doi.org/10.3390/SU12103994</w:t>
      </w:r>
    </w:p>
    <w:p w14:paraId="1F2B5F28" w14:textId="77777777" w:rsidR="00F8432F" w:rsidRPr="00C926EC" w:rsidRDefault="00F8432F" w:rsidP="00F8432F">
      <w:pPr>
        <w:widowControl w:val="0"/>
        <w:autoSpaceDE w:val="0"/>
        <w:autoSpaceDN w:val="0"/>
        <w:adjustRightInd w:val="0"/>
        <w:spacing w:line="360" w:lineRule="auto"/>
        <w:ind w:left="480" w:hanging="480"/>
        <w:rPr>
          <w:rFonts w:ascii="Arial" w:hAnsi="Arial" w:cs="Arial"/>
          <w:noProof/>
          <w:sz w:val="24"/>
          <w:szCs w:val="24"/>
          <w:lang w:val="en-US"/>
        </w:rPr>
      </w:pPr>
      <w:r w:rsidRPr="00C926EC">
        <w:rPr>
          <w:rFonts w:ascii="Arial" w:hAnsi="Arial" w:cs="Arial"/>
          <w:noProof/>
          <w:sz w:val="24"/>
          <w:szCs w:val="24"/>
          <w:lang w:val="en-US"/>
        </w:rPr>
        <w:t>REGATRACE, 2020. Mapping the state of play of renewable gases in Europe.</w:t>
      </w:r>
    </w:p>
    <w:p w14:paraId="5DEE330F" w14:textId="08B86D85" w:rsidR="00F8432F" w:rsidRPr="00C926EC" w:rsidRDefault="00F8432F" w:rsidP="00F8432F">
      <w:pPr>
        <w:widowControl w:val="0"/>
        <w:autoSpaceDE w:val="0"/>
        <w:autoSpaceDN w:val="0"/>
        <w:adjustRightInd w:val="0"/>
        <w:spacing w:line="360" w:lineRule="auto"/>
        <w:ind w:left="480" w:hanging="480"/>
        <w:rPr>
          <w:rFonts w:ascii="Arial" w:hAnsi="Arial" w:cs="Arial"/>
          <w:noProof/>
          <w:sz w:val="24"/>
          <w:szCs w:val="24"/>
          <w:lang w:val="sv-SE"/>
        </w:rPr>
      </w:pPr>
      <w:r w:rsidRPr="00C926EC">
        <w:rPr>
          <w:rFonts w:ascii="Arial" w:hAnsi="Arial" w:cs="Arial"/>
          <w:noProof/>
          <w:sz w:val="24"/>
          <w:szCs w:val="24"/>
          <w:lang w:val="sv-SE"/>
        </w:rPr>
        <w:lastRenderedPageBreak/>
        <w:t>Sandbag, 2020. Sandbag - Smarter Climate Policy</w:t>
      </w:r>
      <w:r w:rsidR="00F514CB" w:rsidRPr="00C926EC">
        <w:rPr>
          <w:rFonts w:ascii="Arial" w:hAnsi="Arial" w:cs="Arial"/>
          <w:noProof/>
          <w:sz w:val="24"/>
          <w:szCs w:val="24"/>
          <w:lang w:val="sv-SE"/>
        </w:rPr>
        <w:t>. https://sandbag.be/</w:t>
      </w:r>
      <w:r w:rsidRPr="00C926EC">
        <w:rPr>
          <w:rFonts w:ascii="Arial" w:hAnsi="Arial" w:cs="Arial"/>
          <w:noProof/>
          <w:sz w:val="24"/>
          <w:szCs w:val="24"/>
          <w:lang w:val="sv-SE"/>
        </w:rPr>
        <w:t>.</w:t>
      </w:r>
    </w:p>
    <w:p w14:paraId="1629A2C4" w14:textId="77777777" w:rsidR="00F8432F" w:rsidRPr="00C926EC" w:rsidRDefault="00F8432F" w:rsidP="00F8432F">
      <w:pPr>
        <w:widowControl w:val="0"/>
        <w:autoSpaceDE w:val="0"/>
        <w:autoSpaceDN w:val="0"/>
        <w:adjustRightInd w:val="0"/>
        <w:spacing w:line="360" w:lineRule="auto"/>
        <w:ind w:left="480" w:hanging="480"/>
        <w:rPr>
          <w:rFonts w:ascii="Arial" w:hAnsi="Arial" w:cs="Arial"/>
          <w:noProof/>
          <w:sz w:val="24"/>
          <w:szCs w:val="24"/>
          <w:lang w:val="sv-SE"/>
        </w:rPr>
      </w:pPr>
      <w:r w:rsidRPr="00C926EC">
        <w:rPr>
          <w:rFonts w:ascii="Arial" w:hAnsi="Arial" w:cs="Arial"/>
          <w:noProof/>
          <w:sz w:val="24"/>
          <w:szCs w:val="24"/>
          <w:lang w:val="en-US"/>
        </w:rPr>
        <w:t xml:space="preserve">Scholz, M., Frank, B., Stockmeier, F., Falß, S., Wessling, M., 2013. Techno-economic analysis of hybrid processes for biogas upgrading. Ind. Eng. </w:t>
      </w:r>
      <w:r w:rsidRPr="00C926EC">
        <w:rPr>
          <w:rFonts w:ascii="Arial" w:hAnsi="Arial" w:cs="Arial"/>
          <w:noProof/>
          <w:sz w:val="24"/>
          <w:szCs w:val="24"/>
          <w:lang w:val="sv-SE"/>
        </w:rPr>
        <w:t>Chem. Res. https://doi.org/10.1021/ie402660s</w:t>
      </w:r>
    </w:p>
    <w:p w14:paraId="5655E449" w14:textId="77777777" w:rsidR="00F8432F" w:rsidRPr="00C926EC" w:rsidRDefault="00F8432F" w:rsidP="00F8432F">
      <w:pPr>
        <w:widowControl w:val="0"/>
        <w:autoSpaceDE w:val="0"/>
        <w:autoSpaceDN w:val="0"/>
        <w:adjustRightInd w:val="0"/>
        <w:spacing w:line="360" w:lineRule="auto"/>
        <w:ind w:left="480" w:hanging="480"/>
        <w:rPr>
          <w:rFonts w:ascii="Arial" w:hAnsi="Arial" w:cs="Arial"/>
          <w:noProof/>
          <w:sz w:val="24"/>
          <w:szCs w:val="24"/>
          <w:lang w:val="en-US"/>
        </w:rPr>
      </w:pPr>
      <w:r w:rsidRPr="00C926EC">
        <w:rPr>
          <w:rFonts w:ascii="Arial" w:hAnsi="Arial" w:cs="Arial"/>
          <w:noProof/>
          <w:sz w:val="24"/>
          <w:szCs w:val="24"/>
          <w:lang w:val="sv-SE"/>
        </w:rPr>
        <w:t xml:space="preserve">Starr, K., Gabarrell, X., Villalba, G., Talens, L., Lombardi, L., 2012. </w:t>
      </w:r>
      <w:r w:rsidRPr="00C926EC">
        <w:rPr>
          <w:rFonts w:ascii="Arial" w:hAnsi="Arial" w:cs="Arial"/>
          <w:noProof/>
          <w:sz w:val="24"/>
          <w:szCs w:val="24"/>
          <w:lang w:val="en-US"/>
        </w:rPr>
        <w:t>Life cycle assessment of biogas upgrading technologies. Waste Manag. 32, 991–999. https://doi.org/10.1016/j.wasman.2011.12.016</w:t>
      </w:r>
    </w:p>
    <w:p w14:paraId="3823AF5E" w14:textId="77777777" w:rsidR="00F8432F" w:rsidRPr="00C926EC" w:rsidRDefault="00F8432F" w:rsidP="00F8432F">
      <w:pPr>
        <w:widowControl w:val="0"/>
        <w:autoSpaceDE w:val="0"/>
        <w:autoSpaceDN w:val="0"/>
        <w:adjustRightInd w:val="0"/>
        <w:spacing w:line="360" w:lineRule="auto"/>
        <w:ind w:left="480" w:hanging="480"/>
        <w:rPr>
          <w:rFonts w:ascii="Arial" w:hAnsi="Arial" w:cs="Arial"/>
          <w:noProof/>
          <w:sz w:val="24"/>
          <w:szCs w:val="24"/>
          <w:lang w:val="en-US"/>
        </w:rPr>
      </w:pPr>
      <w:r w:rsidRPr="00C926EC">
        <w:rPr>
          <w:rFonts w:ascii="Arial" w:hAnsi="Arial" w:cs="Arial"/>
          <w:noProof/>
          <w:sz w:val="24"/>
          <w:szCs w:val="24"/>
          <w:lang w:val="sv-SE"/>
        </w:rPr>
        <w:t xml:space="preserve">Starr, K., Villalba, G., Gabarrell, X., 2015. </w:t>
      </w:r>
      <w:r w:rsidRPr="00C926EC">
        <w:rPr>
          <w:rFonts w:ascii="Arial" w:hAnsi="Arial" w:cs="Arial"/>
          <w:noProof/>
          <w:sz w:val="24"/>
          <w:szCs w:val="24"/>
          <w:lang w:val="en-US"/>
        </w:rPr>
        <w:t>Upgraded biogas from municipal solid waste for natural gas substitution and CO2 reduction - A case study of Austria, Italy, and Spain. Waste Manag. https://doi.org/10.1016/j.wasman.2015.01.001</w:t>
      </w:r>
    </w:p>
    <w:p w14:paraId="4C0B83BD" w14:textId="77777777" w:rsidR="00F8432F" w:rsidRPr="00C926EC" w:rsidRDefault="00F8432F" w:rsidP="00F8432F">
      <w:pPr>
        <w:widowControl w:val="0"/>
        <w:autoSpaceDE w:val="0"/>
        <w:autoSpaceDN w:val="0"/>
        <w:adjustRightInd w:val="0"/>
        <w:spacing w:line="360" w:lineRule="auto"/>
        <w:ind w:left="480" w:hanging="480"/>
        <w:rPr>
          <w:rFonts w:ascii="Arial" w:hAnsi="Arial" w:cs="Arial"/>
          <w:noProof/>
          <w:sz w:val="24"/>
          <w:szCs w:val="24"/>
          <w:lang w:val="en-US"/>
        </w:rPr>
      </w:pPr>
      <w:r w:rsidRPr="00C926EC">
        <w:rPr>
          <w:rFonts w:ascii="Arial" w:hAnsi="Arial" w:cs="Arial"/>
          <w:noProof/>
          <w:sz w:val="24"/>
          <w:szCs w:val="24"/>
          <w:lang w:val="en-US"/>
        </w:rPr>
        <w:t>Sun, Q., Li, H., Yan, J., Liu, L., Yu, Z., Yu, X., 2015. Selection of appropriate biogas upgrading technology-a review of biogas cleaning, upgrading and utilisation. Renew. Sustain. Energy Rev. 51, 521–532. https://doi.org/10.1016/j.rser.2015.06.029</w:t>
      </w:r>
    </w:p>
    <w:p w14:paraId="70C9B449" w14:textId="77777777" w:rsidR="00F8432F" w:rsidRPr="00C926EC" w:rsidRDefault="00F8432F" w:rsidP="00F8432F">
      <w:pPr>
        <w:widowControl w:val="0"/>
        <w:autoSpaceDE w:val="0"/>
        <w:autoSpaceDN w:val="0"/>
        <w:adjustRightInd w:val="0"/>
        <w:spacing w:line="360" w:lineRule="auto"/>
        <w:ind w:left="480" w:hanging="480"/>
        <w:rPr>
          <w:rFonts w:ascii="Arial" w:hAnsi="Arial" w:cs="Arial"/>
          <w:noProof/>
          <w:sz w:val="24"/>
          <w:szCs w:val="24"/>
          <w:lang w:val="en-US"/>
        </w:rPr>
      </w:pPr>
      <w:r w:rsidRPr="00C926EC">
        <w:rPr>
          <w:rFonts w:ascii="Arial" w:hAnsi="Arial" w:cs="Arial"/>
          <w:noProof/>
          <w:sz w:val="24"/>
          <w:szCs w:val="24"/>
          <w:lang w:val="en-US"/>
        </w:rPr>
        <w:t>Tansel, B., Surita, S.C., 2019. Managing siloxanes in biogas-to-energy facilities: Economic comparison of pre- vs post-combustion practices. Waste Manag. https://doi.org/10.1016/j.wasman.2019.07.019</w:t>
      </w:r>
    </w:p>
    <w:p w14:paraId="0516516E" w14:textId="083CC497" w:rsidR="00F8432F" w:rsidRPr="00C926EC" w:rsidRDefault="00F8432F" w:rsidP="00F8432F">
      <w:pPr>
        <w:widowControl w:val="0"/>
        <w:autoSpaceDE w:val="0"/>
        <w:autoSpaceDN w:val="0"/>
        <w:adjustRightInd w:val="0"/>
        <w:spacing w:line="360" w:lineRule="auto"/>
        <w:ind w:left="480" w:hanging="480"/>
        <w:rPr>
          <w:rFonts w:ascii="Arial" w:hAnsi="Arial" w:cs="Arial"/>
          <w:noProof/>
          <w:sz w:val="24"/>
          <w:szCs w:val="24"/>
          <w:lang w:val="en-US"/>
        </w:rPr>
      </w:pPr>
      <w:r w:rsidRPr="00C926EC">
        <w:rPr>
          <w:rFonts w:ascii="Arial" w:hAnsi="Arial" w:cs="Arial"/>
          <w:noProof/>
          <w:sz w:val="24"/>
          <w:szCs w:val="24"/>
          <w:lang w:val="en-US"/>
        </w:rPr>
        <w:t>Theice, 2020. Theice EUA carbon prices</w:t>
      </w:r>
      <w:r w:rsidR="00DD300C" w:rsidRPr="00C926EC">
        <w:rPr>
          <w:rFonts w:ascii="Arial" w:hAnsi="Arial" w:cs="Arial"/>
          <w:noProof/>
          <w:sz w:val="24"/>
          <w:szCs w:val="24"/>
          <w:lang w:val="en-US"/>
        </w:rPr>
        <w:t>.</w:t>
      </w:r>
      <w:r w:rsidRPr="00C926EC">
        <w:rPr>
          <w:rFonts w:ascii="Arial" w:hAnsi="Arial" w:cs="Arial"/>
          <w:noProof/>
          <w:sz w:val="24"/>
          <w:szCs w:val="24"/>
          <w:lang w:val="en-US"/>
        </w:rPr>
        <w:t xml:space="preserve"> </w:t>
      </w:r>
      <w:r w:rsidR="00DD300C" w:rsidRPr="00C926EC">
        <w:rPr>
          <w:rFonts w:ascii="Arial" w:hAnsi="Arial" w:cs="Arial"/>
          <w:noProof/>
          <w:sz w:val="24"/>
          <w:szCs w:val="24"/>
          <w:lang w:val="en-US"/>
        </w:rPr>
        <w:t>https://www.theice.com/products/197/EUA-Futures/data?marketId=6734673</w:t>
      </w:r>
      <w:r w:rsidRPr="00C926EC">
        <w:rPr>
          <w:rFonts w:ascii="Arial" w:hAnsi="Arial" w:cs="Arial"/>
          <w:noProof/>
          <w:sz w:val="24"/>
          <w:szCs w:val="24"/>
          <w:lang w:val="en-US"/>
        </w:rPr>
        <w:t>.</w:t>
      </w:r>
    </w:p>
    <w:p w14:paraId="443E94A5" w14:textId="77777777" w:rsidR="00F8432F" w:rsidRPr="00C926EC" w:rsidRDefault="00F8432F" w:rsidP="00F8432F">
      <w:pPr>
        <w:widowControl w:val="0"/>
        <w:autoSpaceDE w:val="0"/>
        <w:autoSpaceDN w:val="0"/>
        <w:adjustRightInd w:val="0"/>
        <w:spacing w:line="360" w:lineRule="auto"/>
        <w:ind w:left="480" w:hanging="480"/>
        <w:rPr>
          <w:rFonts w:ascii="Arial" w:hAnsi="Arial" w:cs="Arial"/>
          <w:noProof/>
          <w:sz w:val="24"/>
          <w:szCs w:val="24"/>
          <w:lang w:val="en-US"/>
        </w:rPr>
      </w:pPr>
      <w:r w:rsidRPr="00C926EC">
        <w:rPr>
          <w:rFonts w:ascii="Arial" w:hAnsi="Arial" w:cs="Arial"/>
          <w:noProof/>
          <w:sz w:val="24"/>
          <w:szCs w:val="24"/>
          <w:lang w:val="en-US"/>
        </w:rPr>
        <w:t>UK Governement, 2019. Clean Maritime Plan. London.</w:t>
      </w:r>
    </w:p>
    <w:p w14:paraId="2FD953CF" w14:textId="209A3781" w:rsidR="00F8432F" w:rsidRPr="00C926EC" w:rsidRDefault="00F8432F" w:rsidP="00F8432F">
      <w:pPr>
        <w:widowControl w:val="0"/>
        <w:autoSpaceDE w:val="0"/>
        <w:autoSpaceDN w:val="0"/>
        <w:adjustRightInd w:val="0"/>
        <w:spacing w:line="360" w:lineRule="auto"/>
        <w:ind w:left="480" w:hanging="480"/>
        <w:rPr>
          <w:rFonts w:ascii="Arial" w:hAnsi="Arial" w:cs="Arial"/>
          <w:noProof/>
          <w:sz w:val="24"/>
          <w:szCs w:val="24"/>
          <w:lang w:val="en-US"/>
        </w:rPr>
      </w:pPr>
      <w:r w:rsidRPr="00C926EC">
        <w:rPr>
          <w:rFonts w:ascii="Arial" w:hAnsi="Arial" w:cs="Arial"/>
          <w:noProof/>
          <w:sz w:val="24"/>
          <w:szCs w:val="24"/>
          <w:lang w:val="en-US"/>
        </w:rPr>
        <w:t>UK Investing, 2020. Carbon emissions prices UK</w:t>
      </w:r>
      <w:r w:rsidR="00DD300C" w:rsidRPr="00C926EC">
        <w:rPr>
          <w:rFonts w:ascii="Arial" w:hAnsi="Arial" w:cs="Arial"/>
          <w:noProof/>
          <w:sz w:val="24"/>
          <w:szCs w:val="24"/>
          <w:lang w:val="en-US"/>
        </w:rPr>
        <w:t>. https://uk.investing.com/commodities/carbon-emissions</w:t>
      </w:r>
      <w:r w:rsidRPr="00C926EC">
        <w:rPr>
          <w:rFonts w:ascii="Arial" w:hAnsi="Arial" w:cs="Arial"/>
          <w:noProof/>
          <w:sz w:val="24"/>
          <w:szCs w:val="24"/>
          <w:lang w:val="en-US"/>
        </w:rPr>
        <w:t>.</w:t>
      </w:r>
    </w:p>
    <w:p w14:paraId="3F710C2F" w14:textId="77777777" w:rsidR="00F8432F" w:rsidRPr="00C926EC" w:rsidRDefault="00F8432F" w:rsidP="00F8432F">
      <w:pPr>
        <w:widowControl w:val="0"/>
        <w:autoSpaceDE w:val="0"/>
        <w:autoSpaceDN w:val="0"/>
        <w:adjustRightInd w:val="0"/>
        <w:spacing w:line="360" w:lineRule="auto"/>
        <w:ind w:left="480" w:hanging="480"/>
        <w:rPr>
          <w:rFonts w:ascii="Arial" w:hAnsi="Arial" w:cs="Arial"/>
          <w:noProof/>
          <w:sz w:val="24"/>
        </w:rPr>
      </w:pPr>
      <w:r w:rsidRPr="00C926EC">
        <w:rPr>
          <w:rFonts w:ascii="Arial" w:hAnsi="Arial" w:cs="Arial"/>
          <w:noProof/>
          <w:sz w:val="24"/>
          <w:szCs w:val="24"/>
          <w:lang w:val="en-US"/>
        </w:rPr>
        <w:t xml:space="preserve">Vo, T.T.Q., Wall, D.M., Ring, D., Rajendran, K., Murphy, J.D., 2018. Techno-economic analysis of biogas upgrading via amine scrubber, carbon capture and ex-situ methanation. </w:t>
      </w:r>
      <w:r w:rsidRPr="00C926EC">
        <w:rPr>
          <w:rFonts w:ascii="Arial" w:hAnsi="Arial" w:cs="Arial"/>
          <w:noProof/>
          <w:sz w:val="24"/>
          <w:szCs w:val="24"/>
        </w:rPr>
        <w:t>Appl. Energy 212, 1191–1202. https://doi.org/10.1016/j.apenergy.2017.12.099</w:t>
      </w:r>
    </w:p>
    <w:p w14:paraId="02CBBCBC" w14:textId="379834CC" w:rsidR="005B5379" w:rsidRPr="00C926EC" w:rsidRDefault="005B5379" w:rsidP="0065182A">
      <w:pPr>
        <w:spacing w:line="360" w:lineRule="auto"/>
        <w:jc w:val="both"/>
        <w:rPr>
          <w:rFonts w:ascii="Arial" w:hAnsi="Arial" w:cs="Arial"/>
          <w:sz w:val="24"/>
          <w:szCs w:val="24"/>
          <w:lang w:val="en-US"/>
        </w:rPr>
      </w:pPr>
      <w:r w:rsidRPr="00C926EC">
        <w:rPr>
          <w:rFonts w:ascii="Arial" w:hAnsi="Arial" w:cs="Arial"/>
          <w:sz w:val="24"/>
          <w:szCs w:val="24"/>
          <w:lang w:val="en-US"/>
        </w:rPr>
        <w:fldChar w:fldCharType="end"/>
      </w:r>
    </w:p>
    <w:p w14:paraId="652E49E1" w14:textId="5842E45B" w:rsidR="0095377F" w:rsidRPr="00C926EC" w:rsidRDefault="0095377F" w:rsidP="0065182A">
      <w:pPr>
        <w:spacing w:line="360" w:lineRule="auto"/>
        <w:jc w:val="both"/>
        <w:rPr>
          <w:rFonts w:ascii="Arial" w:hAnsi="Arial" w:cs="Arial"/>
          <w:sz w:val="24"/>
          <w:szCs w:val="24"/>
          <w:lang w:val="en-US"/>
        </w:rPr>
      </w:pPr>
    </w:p>
    <w:p w14:paraId="193F52C6" w14:textId="30B34A99" w:rsidR="0095377F" w:rsidRPr="00C926EC" w:rsidRDefault="0095377F" w:rsidP="0065182A">
      <w:pPr>
        <w:spacing w:line="360" w:lineRule="auto"/>
        <w:jc w:val="both"/>
        <w:rPr>
          <w:rFonts w:ascii="Arial" w:hAnsi="Arial" w:cs="Arial"/>
          <w:sz w:val="24"/>
          <w:szCs w:val="24"/>
          <w:lang w:val="en-US"/>
        </w:rPr>
      </w:pPr>
    </w:p>
    <w:p w14:paraId="694192A4" w14:textId="2189AA82" w:rsidR="0095377F" w:rsidRPr="00C926EC" w:rsidRDefault="0095377F" w:rsidP="0065182A">
      <w:pPr>
        <w:spacing w:line="360" w:lineRule="auto"/>
        <w:jc w:val="both"/>
        <w:rPr>
          <w:rFonts w:ascii="Arial" w:hAnsi="Arial" w:cs="Arial"/>
          <w:sz w:val="24"/>
          <w:szCs w:val="24"/>
          <w:lang w:val="en-US"/>
        </w:rPr>
      </w:pPr>
    </w:p>
    <w:p w14:paraId="0404C3AB" w14:textId="77777777" w:rsidR="0095377F" w:rsidRPr="00C926EC" w:rsidRDefault="0095377F" w:rsidP="0095377F">
      <w:pPr>
        <w:spacing w:line="480" w:lineRule="auto"/>
        <w:jc w:val="both"/>
        <w:rPr>
          <w:rFonts w:ascii="Arial" w:hAnsi="Arial" w:cs="Arial"/>
          <w:sz w:val="24"/>
          <w:szCs w:val="24"/>
          <w:lang w:val="en-US"/>
        </w:rPr>
      </w:pPr>
      <w:r w:rsidRPr="00C926EC">
        <w:rPr>
          <w:rFonts w:ascii="Arial" w:hAnsi="Arial" w:cs="Arial"/>
          <w:noProof/>
          <w:sz w:val="24"/>
          <w:szCs w:val="24"/>
          <w:lang w:eastAsia="es-ES"/>
        </w:rPr>
        <w:drawing>
          <wp:inline distT="0" distB="0" distL="0" distR="0" wp14:anchorId="525AD2A4" wp14:editId="014FB1A7">
            <wp:extent cx="5292436" cy="3012309"/>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5123" cy="3042297"/>
                    </a:xfrm>
                    <a:prstGeom prst="rect">
                      <a:avLst/>
                    </a:prstGeom>
                    <a:noFill/>
                  </pic:spPr>
                </pic:pic>
              </a:graphicData>
            </a:graphic>
          </wp:inline>
        </w:drawing>
      </w:r>
    </w:p>
    <w:p w14:paraId="45D33310" w14:textId="3EB314F2" w:rsidR="0095377F" w:rsidRPr="00C926EC" w:rsidRDefault="0095377F" w:rsidP="0095377F">
      <w:pPr>
        <w:spacing w:line="480" w:lineRule="auto"/>
        <w:jc w:val="center"/>
        <w:rPr>
          <w:rFonts w:ascii="Arial" w:hAnsi="Arial" w:cs="Arial"/>
          <w:sz w:val="24"/>
          <w:szCs w:val="24"/>
          <w:lang w:val="en-US"/>
        </w:rPr>
      </w:pPr>
      <w:r w:rsidRPr="00C926EC">
        <w:rPr>
          <w:rFonts w:ascii="Arial" w:hAnsi="Arial" w:cs="Arial"/>
          <w:sz w:val="24"/>
          <w:szCs w:val="24"/>
          <w:lang w:val="en-US"/>
        </w:rPr>
        <w:t>Figure 1. Conceptual scheme of biogas upgrading and transport to its use in light marine transport.</w:t>
      </w:r>
    </w:p>
    <w:p w14:paraId="05BFD736" w14:textId="77777777" w:rsidR="0095377F" w:rsidRPr="00C926EC" w:rsidRDefault="0095377F" w:rsidP="0095377F">
      <w:pPr>
        <w:spacing w:line="480" w:lineRule="auto"/>
        <w:jc w:val="center"/>
        <w:rPr>
          <w:rFonts w:ascii="Arial" w:hAnsi="Arial" w:cs="Arial"/>
          <w:bCs/>
          <w:iCs/>
          <w:sz w:val="24"/>
          <w:szCs w:val="24"/>
          <w:lang w:val="en-GB"/>
        </w:rPr>
      </w:pPr>
      <w:r w:rsidRPr="00C926EC">
        <w:rPr>
          <w:rFonts w:ascii="Arial" w:hAnsi="Arial" w:cs="Arial"/>
          <w:bCs/>
          <w:iCs/>
          <w:noProof/>
          <w:sz w:val="24"/>
          <w:szCs w:val="24"/>
          <w:lang w:eastAsia="es-ES"/>
        </w:rPr>
        <w:lastRenderedPageBreak/>
        <w:drawing>
          <wp:inline distT="0" distB="0" distL="0" distR="0" wp14:anchorId="17686964" wp14:editId="1B9FE909">
            <wp:extent cx="5008605" cy="3960000"/>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3261" r="8479"/>
                    <a:stretch/>
                  </pic:blipFill>
                  <pic:spPr bwMode="auto">
                    <a:xfrm>
                      <a:off x="0" y="0"/>
                      <a:ext cx="5008605" cy="3960000"/>
                    </a:xfrm>
                    <a:prstGeom prst="rect">
                      <a:avLst/>
                    </a:prstGeom>
                    <a:noFill/>
                    <a:ln>
                      <a:noFill/>
                    </a:ln>
                    <a:extLst>
                      <a:ext uri="{53640926-AAD7-44D8-BBD7-CCE9431645EC}">
                        <a14:shadowObscured xmlns:a14="http://schemas.microsoft.com/office/drawing/2010/main"/>
                      </a:ext>
                    </a:extLst>
                  </pic:spPr>
                </pic:pic>
              </a:graphicData>
            </a:graphic>
          </wp:inline>
        </w:drawing>
      </w:r>
    </w:p>
    <w:p w14:paraId="2BAFEEC9" w14:textId="77777777" w:rsidR="0095377F" w:rsidRPr="00C926EC" w:rsidRDefault="0095377F" w:rsidP="0095377F">
      <w:pPr>
        <w:spacing w:line="480" w:lineRule="auto"/>
        <w:jc w:val="center"/>
        <w:rPr>
          <w:rFonts w:ascii="Arial" w:hAnsi="Arial" w:cs="Arial"/>
          <w:sz w:val="24"/>
          <w:szCs w:val="24"/>
          <w:lang w:val="en-GB"/>
        </w:rPr>
      </w:pPr>
      <w:r w:rsidRPr="00C926EC">
        <w:rPr>
          <w:rFonts w:ascii="Arial" w:hAnsi="Arial" w:cs="Arial"/>
          <w:sz w:val="24"/>
          <w:szCs w:val="24"/>
          <w:lang w:val="en-GB"/>
        </w:rPr>
        <w:t>Figure 2. NPV (A) and PI (B) baseline results. Scenarios 1-12.</w:t>
      </w:r>
    </w:p>
    <w:p w14:paraId="089EEF4C" w14:textId="77777777" w:rsidR="0095377F" w:rsidRPr="00C926EC" w:rsidRDefault="0095377F" w:rsidP="0095377F">
      <w:pPr>
        <w:spacing w:line="480" w:lineRule="auto"/>
        <w:jc w:val="center"/>
        <w:rPr>
          <w:rFonts w:ascii="Arial" w:hAnsi="Arial" w:cs="Arial"/>
          <w:bCs/>
          <w:iCs/>
          <w:sz w:val="24"/>
          <w:szCs w:val="24"/>
          <w:lang w:val="en-GB"/>
        </w:rPr>
      </w:pPr>
      <w:r w:rsidRPr="00C926EC">
        <w:rPr>
          <w:rFonts w:ascii="Arial" w:hAnsi="Arial" w:cs="Arial"/>
          <w:bCs/>
          <w:iCs/>
          <w:noProof/>
          <w:sz w:val="24"/>
          <w:szCs w:val="24"/>
          <w:lang w:eastAsia="es-ES"/>
        </w:rPr>
        <w:drawing>
          <wp:inline distT="0" distB="0" distL="0" distR="0" wp14:anchorId="745CE9CE" wp14:editId="2B827DAC">
            <wp:extent cx="5742537" cy="4104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l="9348" t="8723" r="9131" b="7788"/>
                    <a:stretch/>
                  </pic:blipFill>
                  <pic:spPr bwMode="auto">
                    <a:xfrm>
                      <a:off x="0" y="0"/>
                      <a:ext cx="5742537" cy="4104000"/>
                    </a:xfrm>
                    <a:prstGeom prst="rect">
                      <a:avLst/>
                    </a:prstGeom>
                    <a:noFill/>
                    <a:ln>
                      <a:noFill/>
                    </a:ln>
                    <a:extLst>
                      <a:ext uri="{53640926-AAD7-44D8-BBD7-CCE9431645EC}">
                        <a14:shadowObscured xmlns:a14="http://schemas.microsoft.com/office/drawing/2010/main"/>
                      </a:ext>
                    </a:extLst>
                  </pic:spPr>
                </pic:pic>
              </a:graphicData>
            </a:graphic>
          </wp:inline>
        </w:drawing>
      </w:r>
    </w:p>
    <w:p w14:paraId="544EF6BF" w14:textId="77777777" w:rsidR="0095377F" w:rsidRPr="00C926EC" w:rsidRDefault="0095377F" w:rsidP="0095377F">
      <w:pPr>
        <w:spacing w:line="480" w:lineRule="auto"/>
        <w:jc w:val="center"/>
        <w:rPr>
          <w:rFonts w:ascii="Arial" w:hAnsi="Arial" w:cs="Arial"/>
          <w:sz w:val="24"/>
          <w:szCs w:val="24"/>
          <w:lang w:val="en-GB"/>
        </w:rPr>
      </w:pPr>
      <w:r w:rsidRPr="00C926EC">
        <w:rPr>
          <w:rFonts w:ascii="Arial" w:hAnsi="Arial" w:cs="Arial"/>
          <w:sz w:val="24"/>
          <w:szCs w:val="24"/>
          <w:lang w:val="en-GB"/>
        </w:rPr>
        <w:lastRenderedPageBreak/>
        <w:t>Figure 3. NPV evolution with feed-in tariffs subsidies. Scenarios 13-24.</w:t>
      </w:r>
    </w:p>
    <w:p w14:paraId="46595173" w14:textId="18544EB4" w:rsidR="0095377F" w:rsidRPr="00C926EC" w:rsidRDefault="00B968A4" w:rsidP="0095377F">
      <w:pPr>
        <w:spacing w:line="480" w:lineRule="auto"/>
        <w:jc w:val="center"/>
        <w:rPr>
          <w:rFonts w:ascii="Arial" w:hAnsi="Arial" w:cs="Arial"/>
          <w:bCs/>
          <w:iCs/>
          <w:sz w:val="24"/>
          <w:szCs w:val="24"/>
          <w:lang w:val="en-GB"/>
        </w:rPr>
      </w:pPr>
      <w:r w:rsidRPr="00C926EC">
        <w:rPr>
          <w:rFonts w:ascii="Arial" w:hAnsi="Arial" w:cs="Arial"/>
          <w:bCs/>
          <w:iCs/>
          <w:noProof/>
          <w:sz w:val="24"/>
          <w:szCs w:val="24"/>
          <w:lang w:val="en-GB"/>
        </w:rPr>
        <w:drawing>
          <wp:inline distT="0" distB="0" distL="0" distR="0" wp14:anchorId="08C2AD9A" wp14:editId="57847AF9">
            <wp:extent cx="5261840" cy="37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8472" t="8301" r="9167" b="7510"/>
                    <a:stretch/>
                  </pic:blipFill>
                  <pic:spPr bwMode="auto">
                    <a:xfrm>
                      <a:off x="0" y="0"/>
                      <a:ext cx="5261840" cy="3780000"/>
                    </a:xfrm>
                    <a:prstGeom prst="rect">
                      <a:avLst/>
                    </a:prstGeom>
                    <a:noFill/>
                    <a:ln>
                      <a:noFill/>
                    </a:ln>
                    <a:extLst>
                      <a:ext uri="{53640926-AAD7-44D8-BBD7-CCE9431645EC}">
                        <a14:shadowObscured xmlns:a14="http://schemas.microsoft.com/office/drawing/2010/main"/>
                      </a:ext>
                    </a:extLst>
                  </pic:spPr>
                </pic:pic>
              </a:graphicData>
            </a:graphic>
          </wp:inline>
        </w:drawing>
      </w:r>
    </w:p>
    <w:p w14:paraId="59D0D6CE" w14:textId="71120673" w:rsidR="00655F74" w:rsidRPr="00C926EC" w:rsidRDefault="00655F74" w:rsidP="00655F74">
      <w:pPr>
        <w:spacing w:line="480" w:lineRule="auto"/>
        <w:jc w:val="center"/>
        <w:rPr>
          <w:rFonts w:ascii="Arial" w:hAnsi="Arial" w:cs="Arial"/>
          <w:bCs/>
          <w:iCs/>
          <w:sz w:val="24"/>
          <w:szCs w:val="24"/>
          <w:lang w:val="en-GB"/>
        </w:rPr>
      </w:pPr>
      <w:r w:rsidRPr="00C926EC">
        <w:rPr>
          <w:rFonts w:ascii="Arial" w:hAnsi="Arial" w:cs="Arial"/>
          <w:bCs/>
          <w:iCs/>
          <w:sz w:val="24"/>
          <w:szCs w:val="24"/>
          <w:lang w:val="en-GB"/>
        </w:rPr>
        <w:t>Figure 4. CO</w:t>
      </w:r>
      <w:r w:rsidRPr="00C926EC">
        <w:rPr>
          <w:rFonts w:ascii="Arial" w:hAnsi="Arial" w:cs="Arial"/>
          <w:bCs/>
          <w:iCs/>
          <w:sz w:val="24"/>
          <w:szCs w:val="24"/>
          <w:vertAlign w:val="subscript"/>
          <w:lang w:val="en-GB"/>
        </w:rPr>
        <w:t>2</w:t>
      </w:r>
      <w:r w:rsidRPr="00C926EC">
        <w:rPr>
          <w:rFonts w:ascii="Arial" w:hAnsi="Arial" w:cs="Arial"/>
          <w:bCs/>
          <w:iCs/>
          <w:sz w:val="24"/>
          <w:szCs w:val="24"/>
          <w:lang w:val="en-GB"/>
        </w:rPr>
        <w:t xml:space="preserve"> </w:t>
      </w:r>
      <w:r w:rsidR="00B968A4" w:rsidRPr="00C926EC">
        <w:rPr>
          <w:rFonts w:ascii="Arial" w:hAnsi="Arial" w:cs="Arial"/>
          <w:bCs/>
          <w:iCs/>
          <w:sz w:val="24"/>
          <w:szCs w:val="24"/>
          <w:lang w:val="en-GB"/>
        </w:rPr>
        <w:t>tax</w:t>
      </w:r>
      <w:r w:rsidRPr="00C926EC">
        <w:rPr>
          <w:rFonts w:ascii="Arial" w:hAnsi="Arial" w:cs="Arial"/>
          <w:bCs/>
          <w:iCs/>
          <w:sz w:val="24"/>
          <w:szCs w:val="24"/>
          <w:lang w:val="en-GB"/>
        </w:rPr>
        <w:t xml:space="preserve"> and investment subsidized analysis: (A) CO</w:t>
      </w:r>
      <w:r w:rsidRPr="00C926EC">
        <w:rPr>
          <w:rFonts w:ascii="Arial" w:hAnsi="Arial" w:cs="Arial"/>
          <w:bCs/>
          <w:iCs/>
          <w:sz w:val="24"/>
          <w:szCs w:val="24"/>
          <w:vertAlign w:val="subscript"/>
          <w:lang w:val="en-GB"/>
        </w:rPr>
        <w:t>2</w:t>
      </w:r>
      <w:r w:rsidRPr="00C926EC">
        <w:rPr>
          <w:rFonts w:ascii="Arial" w:hAnsi="Arial" w:cs="Arial"/>
          <w:bCs/>
          <w:iCs/>
          <w:sz w:val="24"/>
          <w:szCs w:val="24"/>
          <w:lang w:val="en-GB"/>
        </w:rPr>
        <w:t xml:space="preserve"> penalties for NPV equal to zero (scenarios 25-36); (B), (C), and (D) </w:t>
      </w:r>
      <w:r w:rsidRPr="00C926EC">
        <w:rPr>
          <w:rFonts w:ascii="Arial" w:hAnsi="Arial" w:cs="Arial"/>
          <w:sz w:val="24"/>
          <w:szCs w:val="24"/>
          <w:lang w:val="en-GB"/>
        </w:rPr>
        <w:t>NPV evolution with percentage of investment subsidies (scenarios 37-48).</w:t>
      </w:r>
    </w:p>
    <w:p w14:paraId="0B1C29E8" w14:textId="77777777" w:rsidR="0095377F" w:rsidRPr="00C926EC" w:rsidRDefault="0095377F" w:rsidP="0095377F">
      <w:pPr>
        <w:spacing w:line="480" w:lineRule="auto"/>
        <w:jc w:val="both"/>
        <w:rPr>
          <w:rFonts w:ascii="Arial" w:hAnsi="Arial" w:cs="Arial"/>
          <w:sz w:val="24"/>
          <w:szCs w:val="24"/>
          <w:lang w:val="en-GB"/>
        </w:rPr>
      </w:pPr>
      <w:r w:rsidRPr="00C926EC">
        <w:rPr>
          <w:rFonts w:ascii="Arial" w:hAnsi="Arial" w:cs="Arial"/>
          <w:noProof/>
          <w:sz w:val="24"/>
          <w:szCs w:val="24"/>
          <w:lang w:eastAsia="es-ES"/>
        </w:rPr>
        <w:lastRenderedPageBreak/>
        <w:drawing>
          <wp:inline distT="0" distB="0" distL="0" distR="0" wp14:anchorId="22F47ED2" wp14:editId="18B2088C">
            <wp:extent cx="5362575" cy="4058525"/>
            <wp:effectExtent l="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3261" t="4985" r="9131"/>
                    <a:stretch/>
                  </pic:blipFill>
                  <pic:spPr bwMode="auto">
                    <a:xfrm>
                      <a:off x="0" y="0"/>
                      <a:ext cx="5364362" cy="4059877"/>
                    </a:xfrm>
                    <a:prstGeom prst="rect">
                      <a:avLst/>
                    </a:prstGeom>
                    <a:noFill/>
                    <a:ln>
                      <a:noFill/>
                    </a:ln>
                    <a:extLst>
                      <a:ext uri="{53640926-AAD7-44D8-BBD7-CCE9431645EC}">
                        <a14:shadowObscured xmlns:a14="http://schemas.microsoft.com/office/drawing/2010/main"/>
                      </a:ext>
                    </a:extLst>
                  </pic:spPr>
                </pic:pic>
              </a:graphicData>
            </a:graphic>
          </wp:inline>
        </w:drawing>
      </w:r>
    </w:p>
    <w:p w14:paraId="528066CC" w14:textId="48A6CA87" w:rsidR="0095377F" w:rsidRPr="00C926EC" w:rsidRDefault="0095377F" w:rsidP="00655F74">
      <w:pPr>
        <w:spacing w:line="480" w:lineRule="auto"/>
        <w:ind w:left="1416" w:hanging="1416"/>
        <w:jc w:val="center"/>
        <w:rPr>
          <w:rFonts w:ascii="Arial" w:hAnsi="Arial" w:cs="Arial"/>
          <w:sz w:val="24"/>
          <w:szCs w:val="24"/>
          <w:lang w:val="en-US"/>
        </w:rPr>
      </w:pPr>
      <w:r w:rsidRPr="00C926EC">
        <w:rPr>
          <w:rFonts w:ascii="Arial" w:hAnsi="Arial" w:cs="Arial"/>
          <w:sz w:val="24"/>
          <w:szCs w:val="24"/>
          <w:lang w:val="en-US"/>
        </w:rPr>
        <w:t xml:space="preserve">Figure </w:t>
      </w:r>
      <w:r w:rsidR="00897449" w:rsidRPr="00C926EC">
        <w:rPr>
          <w:rFonts w:ascii="Arial" w:hAnsi="Arial" w:cs="Arial"/>
          <w:sz w:val="24"/>
          <w:szCs w:val="24"/>
          <w:lang w:val="en-US"/>
        </w:rPr>
        <w:t>5</w:t>
      </w:r>
      <w:r w:rsidRPr="00C926EC">
        <w:rPr>
          <w:rFonts w:ascii="Arial" w:hAnsi="Arial" w:cs="Arial"/>
          <w:sz w:val="24"/>
          <w:szCs w:val="24"/>
          <w:lang w:val="en-US"/>
        </w:rPr>
        <w:t>. Tornado analysis. Scenarios 49-66.</w:t>
      </w:r>
    </w:p>
    <w:p w14:paraId="7737608D" w14:textId="40E3105C" w:rsidR="0095377F" w:rsidRPr="00C926EC" w:rsidRDefault="0095377F" w:rsidP="0095377F">
      <w:pPr>
        <w:spacing w:line="480" w:lineRule="auto"/>
        <w:jc w:val="center"/>
        <w:rPr>
          <w:rFonts w:ascii="Arial" w:hAnsi="Arial" w:cs="Arial"/>
          <w:sz w:val="24"/>
          <w:szCs w:val="24"/>
          <w:lang w:val="en-US"/>
        </w:rPr>
      </w:pPr>
    </w:p>
    <w:p w14:paraId="61F77848" w14:textId="77777777" w:rsidR="0095377F" w:rsidRPr="00C926EC" w:rsidRDefault="0095377F" w:rsidP="0095377F">
      <w:pPr>
        <w:spacing w:line="480" w:lineRule="auto"/>
        <w:jc w:val="center"/>
        <w:rPr>
          <w:rFonts w:ascii="Arial" w:hAnsi="Arial" w:cs="Arial"/>
          <w:sz w:val="24"/>
          <w:szCs w:val="24"/>
          <w:lang w:val="en-US"/>
        </w:rPr>
      </w:pPr>
    </w:p>
    <w:p w14:paraId="395F04B5" w14:textId="161C2220" w:rsidR="0095377F" w:rsidRPr="00C926EC" w:rsidRDefault="0095377F" w:rsidP="0065182A">
      <w:pPr>
        <w:spacing w:line="360" w:lineRule="auto"/>
        <w:jc w:val="both"/>
        <w:rPr>
          <w:rFonts w:ascii="Arial" w:hAnsi="Arial" w:cs="Arial"/>
          <w:sz w:val="24"/>
          <w:szCs w:val="24"/>
          <w:lang w:val="en-US"/>
        </w:rPr>
      </w:pPr>
    </w:p>
    <w:p w14:paraId="2BC25E60" w14:textId="77777777" w:rsidR="0095377F" w:rsidRPr="00C926EC" w:rsidRDefault="0095377F" w:rsidP="0095377F">
      <w:pPr>
        <w:spacing w:line="480" w:lineRule="auto"/>
        <w:jc w:val="center"/>
        <w:rPr>
          <w:rFonts w:ascii="Arial" w:eastAsiaTheme="minorEastAsia" w:hAnsi="Arial" w:cs="Arial"/>
          <w:sz w:val="24"/>
          <w:szCs w:val="24"/>
          <w:lang w:val="en-US"/>
        </w:rPr>
      </w:pPr>
      <w:r w:rsidRPr="00C926EC">
        <w:rPr>
          <w:rFonts w:ascii="Arial" w:eastAsiaTheme="minorEastAsia" w:hAnsi="Arial" w:cs="Arial"/>
          <w:sz w:val="24"/>
          <w:szCs w:val="24"/>
          <w:lang w:val="en-US"/>
        </w:rPr>
        <w:t>Table 1. Economic inputs.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4"/>
        <w:gridCol w:w="1534"/>
        <w:gridCol w:w="4589"/>
      </w:tblGrid>
      <w:tr w:rsidR="00C926EC" w:rsidRPr="00C926EC" w14:paraId="58AE80C5" w14:textId="77777777" w:rsidTr="007D5E1F">
        <w:trPr>
          <w:jc w:val="center"/>
        </w:trPr>
        <w:tc>
          <w:tcPr>
            <w:tcW w:w="0" w:type="auto"/>
            <w:tcBorders>
              <w:top w:val="single" w:sz="4" w:space="0" w:color="auto"/>
              <w:bottom w:val="single" w:sz="4" w:space="0" w:color="auto"/>
            </w:tcBorders>
          </w:tcPr>
          <w:p w14:paraId="5AAB4AE3" w14:textId="77777777" w:rsidR="0095377F" w:rsidRPr="00C926EC" w:rsidRDefault="0095377F" w:rsidP="007D5E1F">
            <w:pPr>
              <w:spacing w:line="360" w:lineRule="auto"/>
              <w:rPr>
                <w:rFonts w:ascii="Arial" w:hAnsi="Arial" w:cs="Arial"/>
                <w:b/>
                <w:sz w:val="18"/>
                <w:szCs w:val="18"/>
                <w:lang w:val="en-US"/>
              </w:rPr>
            </w:pPr>
            <w:r w:rsidRPr="00C926EC">
              <w:rPr>
                <w:rFonts w:ascii="Arial" w:hAnsi="Arial" w:cs="Arial"/>
                <w:b/>
                <w:sz w:val="18"/>
                <w:szCs w:val="18"/>
                <w:lang w:val="en-US"/>
              </w:rPr>
              <w:t>Variable</w:t>
            </w:r>
          </w:p>
        </w:tc>
        <w:tc>
          <w:tcPr>
            <w:tcW w:w="0" w:type="auto"/>
            <w:tcBorders>
              <w:top w:val="single" w:sz="4" w:space="0" w:color="auto"/>
              <w:bottom w:val="single" w:sz="4" w:space="0" w:color="auto"/>
            </w:tcBorders>
            <w:vAlign w:val="center"/>
          </w:tcPr>
          <w:p w14:paraId="7864C146" w14:textId="77777777" w:rsidR="0095377F" w:rsidRPr="00C926EC" w:rsidRDefault="0095377F" w:rsidP="007D5E1F">
            <w:pPr>
              <w:spacing w:line="360" w:lineRule="auto"/>
              <w:rPr>
                <w:rFonts w:ascii="Arial" w:hAnsi="Arial" w:cs="Arial"/>
                <w:b/>
                <w:sz w:val="18"/>
                <w:szCs w:val="18"/>
                <w:lang w:val="en-US"/>
              </w:rPr>
            </w:pPr>
            <w:r w:rsidRPr="00C926EC">
              <w:rPr>
                <w:rFonts w:ascii="Arial" w:hAnsi="Arial" w:cs="Arial"/>
                <w:b/>
                <w:sz w:val="18"/>
                <w:szCs w:val="18"/>
                <w:lang w:val="en-US"/>
              </w:rPr>
              <w:t>Value</w:t>
            </w:r>
          </w:p>
        </w:tc>
        <w:tc>
          <w:tcPr>
            <w:tcW w:w="0" w:type="auto"/>
            <w:tcBorders>
              <w:top w:val="single" w:sz="4" w:space="0" w:color="auto"/>
              <w:bottom w:val="single" w:sz="4" w:space="0" w:color="auto"/>
            </w:tcBorders>
            <w:vAlign w:val="center"/>
          </w:tcPr>
          <w:p w14:paraId="4C57A053" w14:textId="77777777" w:rsidR="0095377F" w:rsidRPr="00C926EC" w:rsidRDefault="0095377F" w:rsidP="007D5E1F">
            <w:pPr>
              <w:spacing w:line="360" w:lineRule="auto"/>
              <w:rPr>
                <w:rFonts w:ascii="Arial" w:hAnsi="Arial" w:cs="Arial"/>
                <w:b/>
                <w:sz w:val="18"/>
                <w:szCs w:val="18"/>
                <w:lang w:val="en-US"/>
              </w:rPr>
            </w:pPr>
            <w:r w:rsidRPr="00C926EC">
              <w:rPr>
                <w:rFonts w:ascii="Arial" w:hAnsi="Arial" w:cs="Arial"/>
                <w:b/>
                <w:sz w:val="18"/>
                <w:szCs w:val="18"/>
                <w:lang w:val="en-US"/>
              </w:rPr>
              <w:t>Reference</w:t>
            </w:r>
          </w:p>
        </w:tc>
      </w:tr>
      <w:tr w:rsidR="00C926EC" w:rsidRPr="00C926EC" w14:paraId="211DC93E" w14:textId="77777777" w:rsidTr="007D5E1F">
        <w:trPr>
          <w:jc w:val="center"/>
        </w:trPr>
        <w:tc>
          <w:tcPr>
            <w:tcW w:w="0" w:type="auto"/>
            <w:tcBorders>
              <w:top w:val="single" w:sz="4" w:space="0" w:color="auto"/>
            </w:tcBorders>
            <w:vAlign w:val="center"/>
          </w:tcPr>
          <w:p w14:paraId="398EDFA2" w14:textId="77777777" w:rsidR="0095377F" w:rsidRPr="00C926EC" w:rsidRDefault="0095377F" w:rsidP="007D5E1F">
            <w:pPr>
              <w:spacing w:before="120" w:line="360" w:lineRule="auto"/>
              <w:rPr>
                <w:rFonts w:ascii="Arial" w:hAnsi="Arial" w:cs="Arial"/>
                <w:sz w:val="18"/>
                <w:szCs w:val="18"/>
                <w:lang w:val="en-US"/>
              </w:rPr>
            </w:pPr>
            <w:proofErr w:type="spellStart"/>
            <w:r w:rsidRPr="00C926EC">
              <w:rPr>
                <w:rFonts w:ascii="Arial" w:hAnsi="Arial" w:cs="Arial"/>
                <w:sz w:val="18"/>
                <w:szCs w:val="18"/>
                <w:lang w:val="en-US"/>
              </w:rPr>
              <w:t>r</w:t>
            </w:r>
            <w:r w:rsidRPr="00C926EC">
              <w:rPr>
                <w:rFonts w:ascii="Arial" w:hAnsi="Arial" w:cs="Arial"/>
                <w:sz w:val="18"/>
                <w:szCs w:val="18"/>
                <w:vertAlign w:val="subscript"/>
                <w:lang w:val="en-US"/>
              </w:rPr>
              <w:t>d</w:t>
            </w:r>
            <w:proofErr w:type="spellEnd"/>
            <w:r w:rsidRPr="00C926EC">
              <w:rPr>
                <w:rFonts w:ascii="Arial" w:hAnsi="Arial" w:cs="Arial"/>
                <w:sz w:val="18"/>
                <w:szCs w:val="18"/>
                <w:lang w:val="en-US"/>
              </w:rPr>
              <w:t xml:space="preserve"> (%)</w:t>
            </w:r>
          </w:p>
        </w:tc>
        <w:tc>
          <w:tcPr>
            <w:tcW w:w="0" w:type="auto"/>
            <w:tcBorders>
              <w:top w:val="single" w:sz="4" w:space="0" w:color="auto"/>
            </w:tcBorders>
            <w:vAlign w:val="center"/>
          </w:tcPr>
          <w:p w14:paraId="39260A11" w14:textId="77777777" w:rsidR="0095377F" w:rsidRPr="00C926EC" w:rsidRDefault="0095377F" w:rsidP="007D5E1F">
            <w:pPr>
              <w:spacing w:before="120" w:line="360" w:lineRule="auto"/>
              <w:rPr>
                <w:rFonts w:ascii="Arial" w:hAnsi="Arial" w:cs="Arial"/>
                <w:sz w:val="18"/>
                <w:szCs w:val="18"/>
                <w:lang w:val="en-US"/>
              </w:rPr>
            </w:pPr>
            <w:r w:rsidRPr="00C926EC">
              <w:rPr>
                <w:rFonts w:ascii="Arial" w:hAnsi="Arial" w:cs="Arial"/>
                <w:sz w:val="18"/>
                <w:szCs w:val="18"/>
                <w:lang w:val="en-US"/>
              </w:rPr>
              <w:t>5</w:t>
            </w:r>
          </w:p>
        </w:tc>
        <w:tc>
          <w:tcPr>
            <w:tcW w:w="0" w:type="auto"/>
            <w:tcBorders>
              <w:top w:val="single" w:sz="4" w:space="0" w:color="auto"/>
            </w:tcBorders>
            <w:vAlign w:val="center"/>
          </w:tcPr>
          <w:p w14:paraId="035CFB35" w14:textId="77777777" w:rsidR="0095377F" w:rsidRPr="00C926EC" w:rsidRDefault="0095377F" w:rsidP="007D5E1F">
            <w:pPr>
              <w:spacing w:before="120" w:line="360" w:lineRule="auto"/>
              <w:rPr>
                <w:rFonts w:ascii="Arial" w:hAnsi="Arial" w:cs="Arial"/>
                <w:sz w:val="18"/>
                <w:szCs w:val="18"/>
              </w:rPr>
            </w:pPr>
            <w:r w:rsidRPr="00C926EC">
              <w:rPr>
                <w:rFonts w:ascii="Arial" w:hAnsi="Arial" w:cs="Arial"/>
                <w:sz w:val="18"/>
                <w:szCs w:val="18"/>
              </w:rPr>
              <w:fldChar w:fldCharType="begin" w:fldLock="1"/>
            </w:r>
            <w:r w:rsidRPr="00C926EC">
              <w:rPr>
                <w:rFonts w:ascii="Arial" w:hAnsi="Arial" w:cs="Arial"/>
                <w:sz w:val="18"/>
                <w:szCs w:val="18"/>
              </w:rPr>
              <w:instrText>ADDIN CSL_CITATION {"citationItems":[{"id":"ITEM-1","itemData":{"DOI":"10.1016/j.wasman.2019.06.005","ISSN":"18792456","abstract":"The transport sector has a low penetration of renewable energy, and this presents a serious obstacle to tackling climate change. Biomethane is seen as a decarbonisation solution, but only some European countries have pursued its development. Italy is one of these countries, having released a decree to stimulate development of the sector. The present work considers two typologies of substrate (the organic fraction of municipal solid waste and by-products) used in three sizes of plants (125 m3/h, 250 m3/h and 500 m3/h). A detailed socio-economic analysis is presented and policy implications are provided. The recovery of waste enables the creation of a circular economy, but the economic feasibility of such a model is verified in only some scenarios. A sensitivity analysis on the critical variables is conducted to support investment in this area. The use of green gas is found to be capable of significantly reducing greenhouse gas emissions in the transport sector, but the economic value of any environmental externality is low due to the value of carbon dioxide.","author":[{"dropping-particle":"","family":"D'Adamo","given":"Idiano","non-dropping-particle":"","parse-names":false,"suffix":""},{"dropping-particle":"","family":"Falcone","given":"Pasquale Marcello","non-dropping-particle":"","parse-names":false,"suffix":""},{"dropping-particle":"","family":"Ferella","given":"Francesco","non-dropping-particle":"","parse-names":false,"suffix":""}],"container-title":"Waste Management","id":"ITEM-1","issued":{"date-parts":[["2019"]]},"title":"A socio-economic analysis of biomethane in the transport sector: The case of Italy","type":"article-journal"},"uris":["http://www.mendeley.com/documents/?uuid=81ff1f3b-d456-483e-8e22-e22943e8f453"]},{"id":"ITEM-2","itemData":{"DOI":"10.1016/j.enconman.2016.04.058","ISSN":"01968904","abstract":"Biomethane is a renewable energy useful to encourage the transition to a sustainable energy future. Incentive policies favour its development and consequently this paper evaluates the economic performance for use of biomethane fed into the grid, destined for cogeneration or sold as vehicle fuel. A mathematical model is proposed and the indicators used are Net Present Value and Discounted Payback Time. This paper aims to evaluate the financial feasibility of biomethane plants in function of the plant size (100 m 3 /h, 250 m 3 /h, 500 m 3 /h, 1000 m 3 /h) and the feedstock used (organic fraction of municipal solid waste and a mixture of 30% maize and 70% manure residues on a weight basis) for each final destination of biomethane. Furthermore, a sensitivity analysis on the critical variables is conducted and 356 case studies are overall assessed. The results of the paper demonstrate that the profitability of biomethane plants is verified in several scenarios and it is strongly linked to the subsidies. Biomethane used as vehicle fuel presents greater financial results favouring the increase of share of renewable energy in transport sector and environmental improvements are obtained.","author":[{"dropping-particle":"","family":"Cucchiella","given":"Federica","non-dropping-particle":"","parse-names":false,"suffix":""},{"dropping-particle":"","family":"D'Adamo","given":"Idiano","non-dropping-particle":"","parse-names":false,"suffix":""}],"container-title":"Energy Conversion and Management","id":"ITEM-2","issued":{"date-parts":[["2016"]]},"title":"Technical and economic analysis of biomethane: A focus on the role of subsidies","type":"article-journal"},"uris":["http://www.mendeley.com/documents/?uuid=1397b4d5-3241-4217-be6a-943e2bf04af2"]}],"mendeley":{"formattedCitation":"(Cucchiella and D’Adamo, 2016; D’Adamo et al., 2019)","plainTextFormattedCitation":"(Cucchiella and D’Adamo, 2016; D’Adamo et al., 2019)","previouslyFormattedCitation":"(Cucchiella and D’Adamo, 2016; D’Adamo et al., 2019)"},"properties":{"noteIndex":0},"schema":"https://github.com/citation-style-language/schema/raw/master/csl-citation.json"}</w:instrText>
            </w:r>
            <w:r w:rsidRPr="00C926EC">
              <w:rPr>
                <w:rFonts w:ascii="Arial" w:hAnsi="Arial" w:cs="Arial"/>
                <w:sz w:val="18"/>
                <w:szCs w:val="18"/>
              </w:rPr>
              <w:fldChar w:fldCharType="separate"/>
            </w:r>
            <w:r w:rsidRPr="00C926EC">
              <w:rPr>
                <w:rFonts w:ascii="Arial" w:hAnsi="Arial" w:cs="Arial"/>
                <w:noProof/>
                <w:sz w:val="18"/>
                <w:szCs w:val="18"/>
              </w:rPr>
              <w:t>(Cucchiella and D’Adamo, 2016; D’Adamo et al., 2019)</w:t>
            </w:r>
            <w:r w:rsidRPr="00C926EC">
              <w:rPr>
                <w:rFonts w:ascii="Arial" w:hAnsi="Arial" w:cs="Arial"/>
                <w:sz w:val="18"/>
                <w:szCs w:val="18"/>
              </w:rPr>
              <w:fldChar w:fldCharType="end"/>
            </w:r>
          </w:p>
        </w:tc>
      </w:tr>
      <w:tr w:rsidR="00C926EC" w:rsidRPr="00C926EC" w14:paraId="66C89FB4" w14:textId="77777777" w:rsidTr="007D5E1F">
        <w:trPr>
          <w:jc w:val="center"/>
        </w:trPr>
        <w:tc>
          <w:tcPr>
            <w:tcW w:w="0" w:type="auto"/>
            <w:vAlign w:val="center"/>
          </w:tcPr>
          <w:p w14:paraId="0EBE10B7" w14:textId="77777777" w:rsidR="0095377F" w:rsidRPr="00C926EC" w:rsidRDefault="0095377F" w:rsidP="007D5E1F">
            <w:pPr>
              <w:spacing w:line="360" w:lineRule="auto"/>
              <w:rPr>
                <w:rFonts w:ascii="Arial" w:hAnsi="Arial" w:cs="Arial"/>
                <w:sz w:val="18"/>
                <w:szCs w:val="18"/>
              </w:rPr>
            </w:pPr>
            <w:proofErr w:type="spellStart"/>
            <w:r w:rsidRPr="00C926EC">
              <w:rPr>
                <w:rFonts w:ascii="Arial" w:hAnsi="Arial" w:cs="Arial"/>
                <w:sz w:val="18"/>
                <w:szCs w:val="18"/>
              </w:rPr>
              <w:t>p</w:t>
            </w:r>
            <w:r w:rsidRPr="00C926EC">
              <w:rPr>
                <w:rFonts w:ascii="Arial" w:hAnsi="Arial" w:cs="Arial"/>
                <w:sz w:val="18"/>
                <w:szCs w:val="18"/>
                <w:vertAlign w:val="subscript"/>
              </w:rPr>
              <w:t>NG</w:t>
            </w:r>
            <w:proofErr w:type="spellEnd"/>
            <w:r w:rsidRPr="00C926EC">
              <w:rPr>
                <w:rFonts w:ascii="Arial" w:hAnsi="Arial" w:cs="Arial"/>
                <w:sz w:val="18"/>
                <w:szCs w:val="18"/>
              </w:rPr>
              <w:t xml:space="preserve"> (€/</w:t>
            </w:r>
            <w:proofErr w:type="spellStart"/>
            <w:r w:rsidRPr="00C926EC">
              <w:rPr>
                <w:rFonts w:ascii="Arial" w:hAnsi="Arial" w:cs="Arial"/>
                <w:sz w:val="18"/>
                <w:szCs w:val="18"/>
              </w:rPr>
              <w:t>MWh</w:t>
            </w:r>
            <w:proofErr w:type="spellEnd"/>
            <w:r w:rsidRPr="00C926EC">
              <w:rPr>
                <w:rFonts w:ascii="Arial" w:hAnsi="Arial" w:cs="Arial"/>
                <w:sz w:val="18"/>
                <w:szCs w:val="18"/>
              </w:rPr>
              <w:t>)</w:t>
            </w:r>
          </w:p>
        </w:tc>
        <w:tc>
          <w:tcPr>
            <w:tcW w:w="0" w:type="auto"/>
            <w:vAlign w:val="center"/>
          </w:tcPr>
          <w:p w14:paraId="2C93F102" w14:textId="77777777" w:rsidR="0095377F" w:rsidRPr="00C926EC" w:rsidRDefault="0095377F" w:rsidP="007D5E1F">
            <w:pPr>
              <w:spacing w:line="360" w:lineRule="auto"/>
              <w:rPr>
                <w:rFonts w:ascii="Arial" w:hAnsi="Arial" w:cs="Arial"/>
                <w:sz w:val="18"/>
                <w:szCs w:val="18"/>
              </w:rPr>
            </w:pPr>
            <w:r w:rsidRPr="00C926EC">
              <w:rPr>
                <w:rFonts w:ascii="Arial" w:hAnsi="Arial" w:cs="Arial"/>
                <w:sz w:val="18"/>
                <w:szCs w:val="18"/>
              </w:rPr>
              <w:t>16.83</w:t>
            </w:r>
          </w:p>
        </w:tc>
        <w:tc>
          <w:tcPr>
            <w:tcW w:w="0" w:type="auto"/>
            <w:vAlign w:val="center"/>
          </w:tcPr>
          <w:p w14:paraId="429199DE" w14:textId="77777777" w:rsidR="0095377F" w:rsidRPr="00C926EC" w:rsidRDefault="0095377F" w:rsidP="007D5E1F">
            <w:pPr>
              <w:spacing w:line="360" w:lineRule="auto"/>
              <w:rPr>
                <w:rFonts w:ascii="Arial" w:hAnsi="Arial" w:cs="Arial"/>
                <w:sz w:val="18"/>
                <w:szCs w:val="18"/>
              </w:rPr>
            </w:pPr>
            <w:r w:rsidRPr="00C926EC">
              <w:rPr>
                <w:rFonts w:ascii="Arial" w:hAnsi="Arial" w:cs="Arial"/>
                <w:sz w:val="18"/>
                <w:szCs w:val="18"/>
              </w:rPr>
              <w:fldChar w:fldCharType="begin" w:fldLock="1"/>
            </w:r>
            <w:r w:rsidRPr="00C926EC">
              <w:rPr>
                <w:rFonts w:ascii="Arial" w:hAnsi="Arial" w:cs="Arial"/>
                <w:sz w:val="18"/>
                <w:szCs w:val="18"/>
              </w:rPr>
              <w:instrText>ADDIN CSL_CITATION {"citationItems":[{"id":"ITEM-1","itemData":{"URL":"https://www.energybrokers.co.uk/gas/historic-price-data-graph and https://www.statista.com/statistics/374970/united-kingdom-uk-gas-price-forecast/","author":[{"dropping-particle":"","family":"Energy brokers","given":"","non-dropping-particle":"","parse-names":false,"suffix":""}],"id":"ITEM-1","issued":{"date-parts":[["2020"]]},"title":"United Kingdom gas price forecast","type":"webpage"},"uris":["http://www.mendeley.com/documents/?uuid=9ec9a5d7-f645-40a3-b8a9-f3612a43b27a","http://www.mendeley.com/documents/?uuid=d5128a21-710e-4ea4-b0c6-08c19a989f1c"]}],"mendeley":{"formattedCitation":"(Energy brokers, 2020)","plainTextFormattedCitation":"(Energy brokers, 2020)","previouslyFormattedCitation":"(Energy brokers, 2020)"},"properties":{"noteIndex":0},"schema":"https://github.com/citation-style-language/schema/raw/master/csl-citation.json"}</w:instrText>
            </w:r>
            <w:r w:rsidRPr="00C926EC">
              <w:rPr>
                <w:rFonts w:ascii="Arial" w:hAnsi="Arial" w:cs="Arial"/>
                <w:sz w:val="18"/>
                <w:szCs w:val="18"/>
              </w:rPr>
              <w:fldChar w:fldCharType="separate"/>
            </w:r>
            <w:r w:rsidRPr="00C926EC">
              <w:rPr>
                <w:rFonts w:ascii="Arial" w:hAnsi="Arial" w:cs="Arial"/>
                <w:noProof/>
                <w:sz w:val="18"/>
                <w:szCs w:val="18"/>
              </w:rPr>
              <w:t>(Energy brokers, 2020)</w:t>
            </w:r>
            <w:r w:rsidRPr="00C926EC">
              <w:rPr>
                <w:rFonts w:ascii="Arial" w:hAnsi="Arial" w:cs="Arial"/>
                <w:sz w:val="18"/>
                <w:szCs w:val="18"/>
              </w:rPr>
              <w:fldChar w:fldCharType="end"/>
            </w:r>
          </w:p>
        </w:tc>
      </w:tr>
      <w:tr w:rsidR="00C926EC" w:rsidRPr="006556A2" w14:paraId="35CCF6AD" w14:textId="77777777" w:rsidTr="007D5E1F">
        <w:trPr>
          <w:jc w:val="center"/>
        </w:trPr>
        <w:tc>
          <w:tcPr>
            <w:tcW w:w="0" w:type="auto"/>
            <w:vAlign w:val="center"/>
          </w:tcPr>
          <w:p w14:paraId="39A3B63A" w14:textId="77777777" w:rsidR="0095377F" w:rsidRPr="00C926EC" w:rsidRDefault="0095377F" w:rsidP="007D5E1F">
            <w:pPr>
              <w:spacing w:line="360" w:lineRule="auto"/>
              <w:rPr>
                <w:rFonts w:ascii="Arial" w:hAnsi="Arial" w:cs="Arial"/>
                <w:sz w:val="18"/>
                <w:szCs w:val="18"/>
              </w:rPr>
            </w:pPr>
            <w:proofErr w:type="spellStart"/>
            <w:r w:rsidRPr="00C926EC">
              <w:rPr>
                <w:rFonts w:ascii="Arial" w:hAnsi="Arial" w:cs="Arial"/>
                <w:sz w:val="18"/>
                <w:szCs w:val="18"/>
              </w:rPr>
              <w:t>C</w:t>
            </w:r>
            <w:r w:rsidRPr="00C926EC">
              <w:rPr>
                <w:rFonts w:ascii="Arial" w:hAnsi="Arial" w:cs="Arial"/>
                <w:sz w:val="18"/>
                <w:szCs w:val="18"/>
                <w:vertAlign w:val="subscript"/>
              </w:rPr>
              <w:t>invBU</w:t>
            </w:r>
            <w:proofErr w:type="spellEnd"/>
            <w:r w:rsidRPr="00C926EC">
              <w:rPr>
                <w:rFonts w:ascii="Arial" w:hAnsi="Arial" w:cs="Arial"/>
                <w:sz w:val="18"/>
                <w:szCs w:val="18"/>
              </w:rPr>
              <w:t xml:space="preserve"> (€/m</w:t>
            </w:r>
            <w:r w:rsidRPr="00C926EC">
              <w:rPr>
                <w:rFonts w:ascii="Arial" w:hAnsi="Arial" w:cs="Arial"/>
                <w:sz w:val="18"/>
                <w:szCs w:val="18"/>
                <w:vertAlign w:val="superscript"/>
              </w:rPr>
              <w:t>3</w:t>
            </w:r>
            <w:r w:rsidRPr="00C926EC">
              <w:rPr>
                <w:rFonts w:ascii="Arial" w:hAnsi="Arial" w:cs="Arial"/>
                <w:sz w:val="18"/>
                <w:szCs w:val="18"/>
              </w:rPr>
              <w:t>/h)</w:t>
            </w:r>
          </w:p>
        </w:tc>
        <w:tc>
          <w:tcPr>
            <w:tcW w:w="0" w:type="auto"/>
            <w:vAlign w:val="center"/>
          </w:tcPr>
          <w:p w14:paraId="58928FE2" w14:textId="77777777" w:rsidR="0095377F" w:rsidRPr="00C926EC" w:rsidRDefault="0095377F" w:rsidP="007D5E1F">
            <w:pPr>
              <w:spacing w:line="276" w:lineRule="auto"/>
              <w:rPr>
                <w:rFonts w:ascii="Arial" w:hAnsi="Arial" w:cs="Arial"/>
                <w:sz w:val="18"/>
                <w:szCs w:val="18"/>
              </w:rPr>
            </w:pPr>
            <w:r w:rsidRPr="00C926EC">
              <w:rPr>
                <w:rFonts w:ascii="Arial" w:hAnsi="Arial" w:cs="Arial"/>
                <w:sz w:val="18"/>
                <w:szCs w:val="18"/>
              </w:rPr>
              <w:t>122 m</w:t>
            </w:r>
            <w:r w:rsidRPr="00C926EC">
              <w:rPr>
                <w:rFonts w:ascii="Arial" w:hAnsi="Arial" w:cs="Arial"/>
                <w:sz w:val="18"/>
                <w:szCs w:val="18"/>
                <w:vertAlign w:val="superscript"/>
              </w:rPr>
              <w:t>3</w:t>
            </w:r>
            <w:r w:rsidRPr="00C926EC">
              <w:rPr>
                <w:rFonts w:ascii="Arial" w:hAnsi="Arial" w:cs="Arial"/>
                <w:sz w:val="18"/>
                <w:szCs w:val="18"/>
              </w:rPr>
              <w:t>/h – 5799</w:t>
            </w:r>
          </w:p>
          <w:p w14:paraId="09A6AF84" w14:textId="77777777" w:rsidR="0095377F" w:rsidRPr="00C926EC" w:rsidRDefault="0095377F" w:rsidP="007D5E1F">
            <w:pPr>
              <w:spacing w:line="276" w:lineRule="auto"/>
              <w:rPr>
                <w:rFonts w:ascii="Arial" w:hAnsi="Arial" w:cs="Arial"/>
                <w:sz w:val="18"/>
                <w:szCs w:val="18"/>
              </w:rPr>
            </w:pPr>
            <w:r w:rsidRPr="00C926EC">
              <w:rPr>
                <w:rFonts w:ascii="Arial" w:hAnsi="Arial" w:cs="Arial"/>
                <w:sz w:val="18"/>
                <w:szCs w:val="18"/>
              </w:rPr>
              <w:t>94 m</w:t>
            </w:r>
            <w:r w:rsidRPr="00C926EC">
              <w:rPr>
                <w:rFonts w:ascii="Arial" w:hAnsi="Arial" w:cs="Arial"/>
                <w:sz w:val="18"/>
                <w:szCs w:val="18"/>
                <w:vertAlign w:val="superscript"/>
              </w:rPr>
              <w:t>3</w:t>
            </w:r>
            <w:r w:rsidRPr="00C926EC">
              <w:rPr>
                <w:rFonts w:ascii="Arial" w:hAnsi="Arial" w:cs="Arial"/>
                <w:sz w:val="18"/>
                <w:szCs w:val="18"/>
              </w:rPr>
              <w:t>/h – 6153</w:t>
            </w:r>
          </w:p>
          <w:p w14:paraId="5AA80955" w14:textId="77777777" w:rsidR="0095377F" w:rsidRPr="00C926EC" w:rsidRDefault="0095377F" w:rsidP="007D5E1F">
            <w:pPr>
              <w:spacing w:line="360" w:lineRule="auto"/>
              <w:rPr>
                <w:rFonts w:ascii="Arial" w:hAnsi="Arial" w:cs="Arial"/>
                <w:sz w:val="18"/>
                <w:szCs w:val="18"/>
              </w:rPr>
            </w:pPr>
            <w:r w:rsidRPr="00C926EC">
              <w:rPr>
                <w:rFonts w:ascii="Arial" w:hAnsi="Arial" w:cs="Arial"/>
                <w:sz w:val="18"/>
                <w:szCs w:val="18"/>
              </w:rPr>
              <w:t>182 m</w:t>
            </w:r>
            <w:r w:rsidRPr="00C926EC">
              <w:rPr>
                <w:rFonts w:ascii="Arial" w:hAnsi="Arial" w:cs="Arial"/>
                <w:sz w:val="18"/>
                <w:szCs w:val="18"/>
                <w:vertAlign w:val="superscript"/>
              </w:rPr>
              <w:t>3</w:t>
            </w:r>
            <w:r w:rsidRPr="00C926EC">
              <w:rPr>
                <w:rFonts w:ascii="Arial" w:hAnsi="Arial" w:cs="Arial"/>
                <w:sz w:val="18"/>
                <w:szCs w:val="18"/>
              </w:rPr>
              <w:t>/h – 5086</w:t>
            </w:r>
          </w:p>
        </w:tc>
        <w:tc>
          <w:tcPr>
            <w:tcW w:w="0" w:type="auto"/>
            <w:vAlign w:val="center"/>
          </w:tcPr>
          <w:p w14:paraId="7B7AEC6C" w14:textId="77777777" w:rsidR="0095377F" w:rsidRPr="00C926EC" w:rsidRDefault="0095377F" w:rsidP="007D5E1F">
            <w:pPr>
              <w:spacing w:line="360" w:lineRule="auto"/>
              <w:rPr>
                <w:rFonts w:ascii="Arial" w:hAnsi="Arial" w:cs="Arial"/>
                <w:sz w:val="18"/>
                <w:szCs w:val="18"/>
                <w:lang w:val="en-US"/>
              </w:rPr>
            </w:pPr>
            <w:r w:rsidRPr="006556A2">
              <w:rPr>
                <w:rFonts w:ascii="Arial" w:hAnsi="Arial" w:cs="Arial"/>
                <w:sz w:val="18"/>
                <w:szCs w:val="18"/>
                <w:lang w:val="en-US"/>
              </w:rPr>
              <w:t xml:space="preserve">Scaled from </w:t>
            </w:r>
            <w:r w:rsidRPr="00C926EC">
              <w:rPr>
                <w:rFonts w:ascii="Arial" w:hAnsi="Arial" w:cs="Arial"/>
                <w:sz w:val="18"/>
                <w:szCs w:val="18"/>
                <w:lang w:val="en-US"/>
              </w:rPr>
              <w:fldChar w:fldCharType="begin" w:fldLock="1"/>
            </w:r>
            <w:r w:rsidRPr="006556A2">
              <w:rPr>
                <w:rFonts w:ascii="Arial" w:hAnsi="Arial" w:cs="Arial"/>
                <w:sz w:val="18"/>
                <w:szCs w:val="18"/>
                <w:lang w:val="en-US"/>
              </w:rPr>
              <w:instrText>ADDIN CSL_CITATION {"citationItems":[{"id":"ITEM-1","itemData":{"DOI":"10.1016/j.enconman.2016.04.058","ISSN":"01968904","abstract":"Biomethane is a renewable energy useful to encourage the transition to a sustainable energy future. Incentive policies favour its development and consequently this paper evaluates the economic performance for use of biomethane fed into the grid, destined for cogeneration or</w:instrText>
            </w:r>
            <w:r w:rsidRPr="00C926EC">
              <w:rPr>
                <w:rFonts w:ascii="Arial" w:hAnsi="Arial" w:cs="Arial"/>
                <w:sz w:val="18"/>
                <w:szCs w:val="18"/>
                <w:lang w:val="en-US"/>
              </w:rPr>
              <w:instrText xml:space="preserve"> sold as vehicle fuel. A mathematical model is proposed and the indicators used are Net Present Value and Discounted Payback Time. This paper aims to evaluate the financial feasibility of biomethane plants in function of the plant size (100 m 3 /h, 250 m 3 /h, 500 m 3 /h, 1000 m 3 /h) and the feedstock used (organic fraction of municipal solid waste and a mixture of 30% maize and 70% manure residues on a weight basis) for each final destination of biomethane. Furthermore, a sensitivity analysis on the critical variables is conducted and 356 case studies are overall assessed. The results of the paper demonstrate that the profitability of biomethane plants is verified in several scenarios and it is strongly linked to the subsidies. Biomethane used as vehicle fuel presents greater financial results favouring the increase of share of renewable energy in transport sector and environmental improvements are obtained.","author":[{"dropping-particle":"","family":"Cucchiella","given":"Federica","non-dropping-particle":"","parse-names":false,"suffix":""},{"dropping-particle":"","family":"D'Adamo","given":"Idiano","non-dropping-particle":"","parse-names":false,"suffix":""}],"container-title":"Energy Conversion and Management","id":"ITEM-1","issued":{"date-parts":[["2016"]]},"title":"Technical and economic analysis of biomethane: A focus on the role of subsidies","type":"article-journal"},"uris":["http://www.mendeley.com/documents/?uuid=1397b4d5-3241-4217-be6a-943e2bf04af2"]}],"mendeley":{"formattedCitation":"(Cucchiella and D’Adamo, 2016)","plainTextFormattedCitation":"(Cucchiella and D’Adamo, 2016)","previouslyFormattedCitation":"(Cucchiella and D’Adamo, 2016)"},"properties":{"noteIndex":0},"schema":"https://github.com/citation-style-language/schema/raw/master/csl-citation.json"}</w:instrText>
            </w:r>
            <w:r w:rsidRPr="00C926EC">
              <w:rPr>
                <w:rFonts w:ascii="Arial" w:hAnsi="Arial" w:cs="Arial"/>
                <w:sz w:val="18"/>
                <w:szCs w:val="18"/>
                <w:lang w:val="en-US"/>
              </w:rPr>
              <w:fldChar w:fldCharType="separate"/>
            </w:r>
            <w:r w:rsidRPr="00C926EC">
              <w:rPr>
                <w:rFonts w:ascii="Arial" w:hAnsi="Arial" w:cs="Arial"/>
                <w:noProof/>
                <w:sz w:val="18"/>
                <w:szCs w:val="18"/>
                <w:lang w:val="en-US"/>
              </w:rPr>
              <w:t>(Cucchiella and D’Adamo, 2016)</w:t>
            </w:r>
            <w:r w:rsidRPr="00C926EC">
              <w:rPr>
                <w:rFonts w:ascii="Arial" w:hAnsi="Arial" w:cs="Arial"/>
                <w:sz w:val="18"/>
                <w:szCs w:val="18"/>
                <w:lang w:val="en-US"/>
              </w:rPr>
              <w:fldChar w:fldCharType="end"/>
            </w:r>
          </w:p>
        </w:tc>
      </w:tr>
      <w:tr w:rsidR="00C926EC" w:rsidRPr="00A23F5D" w14:paraId="0AE516B1" w14:textId="77777777" w:rsidTr="007D5E1F">
        <w:trPr>
          <w:jc w:val="center"/>
        </w:trPr>
        <w:tc>
          <w:tcPr>
            <w:tcW w:w="0" w:type="auto"/>
            <w:vAlign w:val="center"/>
          </w:tcPr>
          <w:p w14:paraId="1320260A" w14:textId="77777777" w:rsidR="0095377F" w:rsidRPr="00C926EC" w:rsidRDefault="0095377F" w:rsidP="007D5E1F">
            <w:pPr>
              <w:spacing w:line="360" w:lineRule="auto"/>
              <w:rPr>
                <w:rFonts w:ascii="Arial" w:hAnsi="Arial" w:cs="Arial"/>
                <w:sz w:val="18"/>
                <w:szCs w:val="18"/>
              </w:rPr>
            </w:pPr>
            <w:proofErr w:type="spellStart"/>
            <w:r w:rsidRPr="00C926EC">
              <w:rPr>
                <w:rFonts w:ascii="Arial" w:hAnsi="Arial" w:cs="Arial"/>
                <w:i/>
                <w:sz w:val="18"/>
                <w:szCs w:val="18"/>
                <w:lang w:val="en-US"/>
              </w:rPr>
              <w:t>C</w:t>
            </w:r>
            <w:r w:rsidRPr="00C926EC">
              <w:rPr>
                <w:rFonts w:ascii="Arial" w:hAnsi="Arial" w:cs="Arial"/>
                <w:sz w:val="18"/>
                <w:szCs w:val="18"/>
                <w:vertAlign w:val="subscript"/>
                <w:lang w:val="en-US"/>
              </w:rPr>
              <w:t>invDB</w:t>
            </w:r>
            <w:proofErr w:type="spellEnd"/>
            <w:r w:rsidRPr="00C926EC">
              <w:rPr>
                <w:rFonts w:ascii="Arial" w:hAnsi="Arial" w:cs="Arial"/>
                <w:sz w:val="18"/>
                <w:szCs w:val="18"/>
                <w:lang w:val="en-US"/>
              </w:rPr>
              <w:t xml:space="preserve"> (€/km)</w:t>
            </w:r>
          </w:p>
        </w:tc>
        <w:tc>
          <w:tcPr>
            <w:tcW w:w="0" w:type="auto"/>
            <w:vAlign w:val="center"/>
          </w:tcPr>
          <w:p w14:paraId="53600348" w14:textId="77777777" w:rsidR="0095377F" w:rsidRPr="00C926EC" w:rsidRDefault="0095377F" w:rsidP="007D5E1F">
            <w:pPr>
              <w:rPr>
                <w:rFonts w:ascii="Arial" w:hAnsi="Arial" w:cs="Arial"/>
                <w:sz w:val="18"/>
                <w:szCs w:val="18"/>
                <w:lang w:val="en-GB"/>
              </w:rPr>
            </w:pPr>
            <w:r w:rsidRPr="00C926EC">
              <w:rPr>
                <w:rFonts w:ascii="Arial" w:hAnsi="Arial" w:cs="Arial"/>
                <w:sz w:val="18"/>
                <w:szCs w:val="18"/>
                <w:lang w:val="en-US"/>
              </w:rPr>
              <w:t>237500</w:t>
            </w:r>
          </w:p>
        </w:tc>
        <w:tc>
          <w:tcPr>
            <w:tcW w:w="0" w:type="auto"/>
            <w:vAlign w:val="center"/>
          </w:tcPr>
          <w:p w14:paraId="256ABD18" w14:textId="77777777" w:rsidR="0095377F" w:rsidRPr="006556A2" w:rsidRDefault="0095377F" w:rsidP="007D5E1F">
            <w:pPr>
              <w:spacing w:line="360" w:lineRule="auto"/>
              <w:rPr>
                <w:rFonts w:ascii="Arial" w:hAnsi="Arial" w:cs="Arial"/>
                <w:sz w:val="18"/>
                <w:szCs w:val="18"/>
              </w:rPr>
            </w:pPr>
            <w:r w:rsidRPr="00C926EC">
              <w:rPr>
                <w:rFonts w:ascii="Arial" w:hAnsi="Arial" w:cs="Arial"/>
                <w:sz w:val="18"/>
                <w:szCs w:val="18"/>
                <w:lang w:val="en-US"/>
              </w:rPr>
              <w:fldChar w:fldCharType="begin" w:fldLock="1"/>
            </w:r>
            <w:r w:rsidRPr="00C926EC">
              <w:rPr>
                <w:rFonts w:ascii="Arial" w:hAnsi="Arial" w:cs="Arial"/>
                <w:sz w:val="18"/>
                <w:szCs w:val="18"/>
                <w:lang w:val="en-US"/>
              </w:rPr>
              <w:instrText>ADDIN CSL_CITATION {"citationItems":[{"id":"ITEM-1","itemData":{"DOI":"10.1016/j.jclepro.2018.11.073","ISSN":"09596526","abstract":"The development of renewable energies was impressive in recent years on a global scale. This produced changes regarding production processes, citizens' habits, industrial investments and consumer decisions. In this context, the policy-maker played a crucial role. The subsidies are able to determine the development of a specific market. Biogas market spread globally, while biomethane market concentrated in some territories. Green gas can be used as vehicle fuel or injected into the gas grid but also burnt for co-generation. The present work proposes a techno-economic analysis for an existing biogas plant. In particular, the analysis was focused on the comparison between two possible strategic plans, in order to establish which one was the best in terms of profitability: the first one is the expansion of the plant to upgrade biogas to biomethane, whereas the second one is to continue the production of biogas as planned when the plant was constructed. The Discounted Cash Flow (DCF) method was proposed in this paper, and the Net Present Value (NPV) is the main index used. One 250 m3/h biomethane plant located in Italy using pressure swing adsorption (PSA) technique is analysed. The results demonstrated the positive environmental impact deriving from the use of zeolites synthesized from spent fly ash and the profitability is verified only in some scenarios. However, the</w:instrText>
            </w:r>
            <w:r w:rsidRPr="006556A2">
              <w:rPr>
                <w:rFonts w:ascii="Arial" w:hAnsi="Arial" w:cs="Arial"/>
                <w:sz w:val="18"/>
                <w:szCs w:val="18"/>
              </w:rPr>
              <w:instrText>y are limited only to the construction of new biomethane plants, while the upgrading of existing biogas plants are always unprofitable. A Break-Even Point (BEP) analysis quantifies the value of subsidies of biogas and biomethane by which the profitability could be reached. Biomethane can contribute to the development of circular economy models, while the sustainability targets are achieved only in some scenarios.","author":[{"dropping-particle":"","family":"Ferella","given":"Francesco","non-dropping-particle":"","parse-names":false,"suffix":""},{"dropping-particle":"","family":"Cucchiella","given":"Federica","non-dropping-particle":"","parse-names":false,"suffix":""},{"dropping-particle":"","family":"D'Adamo","given":"Idiano","non-dropping-particle":"","parse-names":false,"suffix":""},{"dropping-particle":"","family":"Gallucci","given":"Katia","non-dropping-particle":"","parse-names":false,"suffix":""}],"container-title":"Journal of Cleaner Production","id":"ITEM-1","issued":{"date-parts":[["2019"]]},"title":"A techno-economic assessment of biogas upgrading in a developed market","type":"article-journal"},"uris":["http://www.mendeley.com/documents/?uuid=1ed9c8da-5981-4a11-98de-f61360b942f0"]}],"mendeley":{"formattedCitation":"(Ferella et al., 2019)","plainTextFormattedCitation":"(Ferella et al., 2019)","previouslyFormattedCitation":"(Ferella et al., 2019)"},"properties":{"noteIndex":0},"schema":"https://github.com/citation-style-language/schema/raw/master/csl-citation.json"}</w:instrText>
            </w:r>
            <w:r w:rsidRPr="00C926EC">
              <w:rPr>
                <w:rFonts w:ascii="Arial" w:hAnsi="Arial" w:cs="Arial"/>
                <w:sz w:val="18"/>
                <w:szCs w:val="18"/>
                <w:lang w:val="en-US"/>
              </w:rPr>
              <w:fldChar w:fldCharType="separate"/>
            </w:r>
            <w:r w:rsidRPr="006556A2">
              <w:rPr>
                <w:rFonts w:ascii="Arial" w:hAnsi="Arial" w:cs="Arial"/>
                <w:noProof/>
                <w:sz w:val="18"/>
                <w:szCs w:val="18"/>
              </w:rPr>
              <w:t>(Ferella et al., 2019)</w:t>
            </w:r>
            <w:r w:rsidRPr="00C926EC">
              <w:rPr>
                <w:rFonts w:ascii="Arial" w:hAnsi="Arial" w:cs="Arial"/>
                <w:sz w:val="18"/>
                <w:szCs w:val="18"/>
                <w:lang w:val="en-US"/>
              </w:rPr>
              <w:fldChar w:fldCharType="end"/>
            </w:r>
          </w:p>
        </w:tc>
      </w:tr>
      <w:tr w:rsidR="00C926EC" w:rsidRPr="00A23F5D" w14:paraId="25FFA876" w14:textId="77777777" w:rsidTr="007D5E1F">
        <w:trPr>
          <w:jc w:val="center"/>
        </w:trPr>
        <w:tc>
          <w:tcPr>
            <w:tcW w:w="0" w:type="auto"/>
            <w:vAlign w:val="center"/>
          </w:tcPr>
          <w:p w14:paraId="11A43708" w14:textId="77777777" w:rsidR="0095377F" w:rsidRPr="006556A2" w:rsidRDefault="0095377F" w:rsidP="007D5E1F">
            <w:pPr>
              <w:spacing w:line="360" w:lineRule="auto"/>
              <w:rPr>
                <w:rFonts w:ascii="Arial" w:hAnsi="Arial" w:cs="Arial"/>
                <w:sz w:val="18"/>
                <w:szCs w:val="18"/>
              </w:rPr>
            </w:pPr>
            <w:proofErr w:type="spellStart"/>
            <w:r w:rsidRPr="006556A2">
              <w:rPr>
                <w:rFonts w:ascii="Arial" w:hAnsi="Arial" w:cs="Arial"/>
                <w:sz w:val="18"/>
                <w:szCs w:val="18"/>
              </w:rPr>
              <w:t>n</w:t>
            </w:r>
            <w:r w:rsidRPr="006556A2">
              <w:rPr>
                <w:rFonts w:ascii="Arial" w:hAnsi="Arial" w:cs="Arial"/>
                <w:sz w:val="18"/>
                <w:szCs w:val="18"/>
                <w:vertAlign w:val="subscript"/>
              </w:rPr>
              <w:t>l</w:t>
            </w:r>
            <w:proofErr w:type="spellEnd"/>
            <w:r w:rsidRPr="006556A2">
              <w:rPr>
                <w:rFonts w:ascii="Arial" w:hAnsi="Arial" w:cs="Arial"/>
                <w:sz w:val="18"/>
                <w:szCs w:val="18"/>
              </w:rPr>
              <w:t xml:space="preserve"> (y)</w:t>
            </w:r>
          </w:p>
        </w:tc>
        <w:tc>
          <w:tcPr>
            <w:tcW w:w="0" w:type="auto"/>
            <w:vAlign w:val="center"/>
          </w:tcPr>
          <w:p w14:paraId="63DFE042" w14:textId="77777777" w:rsidR="0095377F" w:rsidRPr="006556A2" w:rsidRDefault="0095377F" w:rsidP="007D5E1F">
            <w:pPr>
              <w:spacing w:line="360" w:lineRule="auto"/>
              <w:rPr>
                <w:rFonts w:ascii="Arial" w:hAnsi="Arial" w:cs="Arial"/>
                <w:sz w:val="18"/>
                <w:szCs w:val="18"/>
              </w:rPr>
            </w:pPr>
            <w:r w:rsidRPr="006556A2">
              <w:rPr>
                <w:rFonts w:ascii="Arial" w:hAnsi="Arial" w:cs="Arial"/>
                <w:sz w:val="18"/>
                <w:szCs w:val="18"/>
              </w:rPr>
              <w:t>15</w:t>
            </w:r>
          </w:p>
        </w:tc>
        <w:tc>
          <w:tcPr>
            <w:tcW w:w="0" w:type="auto"/>
            <w:vAlign w:val="center"/>
          </w:tcPr>
          <w:p w14:paraId="1EAB2037" w14:textId="77777777" w:rsidR="0095377F" w:rsidRPr="006556A2" w:rsidRDefault="0095377F" w:rsidP="007D5E1F">
            <w:pPr>
              <w:spacing w:line="360" w:lineRule="auto"/>
              <w:rPr>
                <w:rFonts w:ascii="Arial" w:hAnsi="Arial" w:cs="Arial"/>
                <w:sz w:val="18"/>
                <w:szCs w:val="18"/>
              </w:rPr>
            </w:pPr>
            <w:r w:rsidRPr="00C926EC">
              <w:rPr>
                <w:rFonts w:ascii="Arial" w:hAnsi="Arial" w:cs="Arial"/>
                <w:sz w:val="18"/>
                <w:szCs w:val="18"/>
                <w:lang w:val="en-US"/>
              </w:rPr>
              <w:fldChar w:fldCharType="begin" w:fldLock="1"/>
            </w:r>
            <w:r w:rsidRPr="006556A2">
              <w:rPr>
                <w:rFonts w:ascii="Arial" w:hAnsi="Arial" w:cs="Arial"/>
                <w:sz w:val="18"/>
                <w:szCs w:val="18"/>
              </w:rPr>
              <w:instrText>ADDIN CSL_CITATION {"citationItems":[{"id":"ITEM-1","itemData":{"DOI":"10.1016/j.apenergy.2020.115033","author":[{"dropping-particle":"","family":"Baena-Moreno","given":"Francisco M.","non-dropping-particle":"","parse-names":false,"suffix":""},{"dropping-particle":"","family":"Pastor-Pérez","given":"Laura","non-dropping-particle":"","parse-names":false,"suffix":""},{"dropping-particle":"","family":"Zhang","given":"Zhien","non-dropping-particle":"","parse-names":false,"suffix":""},{"dropping-particle":"","family":"Reina","given":"T.R.","non-dropping-particle":"","parse-names":false,"suffix":""}],"container-title":"Applied Energy","id":"ITEM-1","issued":{"date-parts":[["2020"]]},"title":"Stepping towards a low-carbon economy. Formic acid from biogas as case of study","type":"article-journal","volume":"268"},"uris":["http://www.mendeley.com/documents/?uuid=303b0165-2d8f-4015-9e84-7ab6394e6804"]}],"mendeley":{"formattedCitation":"(Baena-Moreno et al., 2020d)","plainTextFormattedCitation":"(Baena-Moreno et al., 2020d)","previouslyFormattedCitation":"(Baena-Moreno et al., 2020d)"},"properties":{"noteIndex":0},"schema":"https://github.com/citation-style-language/schema/raw/master/csl-citation.json"}</w:instrText>
            </w:r>
            <w:r w:rsidRPr="00C926EC">
              <w:rPr>
                <w:rFonts w:ascii="Arial" w:hAnsi="Arial" w:cs="Arial"/>
                <w:sz w:val="18"/>
                <w:szCs w:val="18"/>
                <w:lang w:val="en-US"/>
              </w:rPr>
              <w:fldChar w:fldCharType="separate"/>
            </w:r>
            <w:r w:rsidRPr="006556A2">
              <w:rPr>
                <w:rFonts w:ascii="Arial" w:hAnsi="Arial" w:cs="Arial"/>
                <w:noProof/>
                <w:sz w:val="18"/>
                <w:szCs w:val="18"/>
              </w:rPr>
              <w:t>(Baena-Moreno et al., 2020d)</w:t>
            </w:r>
            <w:r w:rsidRPr="00C926EC">
              <w:rPr>
                <w:rFonts w:ascii="Arial" w:hAnsi="Arial" w:cs="Arial"/>
                <w:sz w:val="18"/>
                <w:szCs w:val="18"/>
                <w:lang w:val="en-US"/>
              </w:rPr>
              <w:fldChar w:fldCharType="end"/>
            </w:r>
          </w:p>
        </w:tc>
      </w:tr>
      <w:tr w:rsidR="00C926EC" w:rsidRPr="00A23F5D" w14:paraId="4D826880" w14:textId="77777777" w:rsidTr="007D5E1F">
        <w:trPr>
          <w:jc w:val="center"/>
        </w:trPr>
        <w:tc>
          <w:tcPr>
            <w:tcW w:w="0" w:type="auto"/>
            <w:vAlign w:val="center"/>
          </w:tcPr>
          <w:p w14:paraId="5BEE7F79" w14:textId="77777777" w:rsidR="0095377F" w:rsidRPr="006556A2" w:rsidRDefault="0095377F" w:rsidP="007D5E1F">
            <w:pPr>
              <w:spacing w:line="360" w:lineRule="auto"/>
              <w:rPr>
                <w:rFonts w:ascii="Arial" w:hAnsi="Arial" w:cs="Arial"/>
                <w:sz w:val="18"/>
                <w:szCs w:val="18"/>
              </w:rPr>
            </w:pPr>
            <w:proofErr w:type="spellStart"/>
            <w:r w:rsidRPr="006556A2">
              <w:rPr>
                <w:rFonts w:ascii="Arial" w:hAnsi="Arial" w:cs="Arial"/>
                <w:sz w:val="18"/>
                <w:szCs w:val="18"/>
              </w:rPr>
              <w:t>r</w:t>
            </w:r>
            <w:r w:rsidRPr="006556A2">
              <w:rPr>
                <w:rFonts w:ascii="Arial" w:hAnsi="Arial" w:cs="Arial"/>
                <w:sz w:val="18"/>
                <w:szCs w:val="18"/>
                <w:vertAlign w:val="subscript"/>
              </w:rPr>
              <w:t>int</w:t>
            </w:r>
            <w:proofErr w:type="spellEnd"/>
            <w:r w:rsidRPr="006556A2">
              <w:rPr>
                <w:rFonts w:ascii="Arial" w:hAnsi="Arial" w:cs="Arial"/>
                <w:sz w:val="18"/>
                <w:szCs w:val="18"/>
              </w:rPr>
              <w:t xml:space="preserve"> (%)</w:t>
            </w:r>
          </w:p>
        </w:tc>
        <w:tc>
          <w:tcPr>
            <w:tcW w:w="0" w:type="auto"/>
            <w:vAlign w:val="center"/>
          </w:tcPr>
          <w:p w14:paraId="679D1F2B" w14:textId="77777777" w:rsidR="0095377F" w:rsidRPr="006556A2" w:rsidRDefault="0095377F" w:rsidP="007D5E1F">
            <w:pPr>
              <w:spacing w:line="360" w:lineRule="auto"/>
              <w:rPr>
                <w:rFonts w:ascii="Arial" w:hAnsi="Arial" w:cs="Arial"/>
                <w:sz w:val="18"/>
                <w:szCs w:val="18"/>
              </w:rPr>
            </w:pPr>
            <w:r w:rsidRPr="006556A2">
              <w:rPr>
                <w:rFonts w:ascii="Arial" w:hAnsi="Arial" w:cs="Arial"/>
                <w:sz w:val="18"/>
                <w:szCs w:val="18"/>
              </w:rPr>
              <w:t>6</w:t>
            </w:r>
          </w:p>
        </w:tc>
        <w:tc>
          <w:tcPr>
            <w:tcW w:w="0" w:type="auto"/>
            <w:vAlign w:val="center"/>
          </w:tcPr>
          <w:p w14:paraId="11C1A923" w14:textId="77777777" w:rsidR="0095377F" w:rsidRPr="006556A2" w:rsidRDefault="0095377F" w:rsidP="007D5E1F">
            <w:pPr>
              <w:spacing w:line="360" w:lineRule="auto"/>
              <w:rPr>
                <w:rFonts w:ascii="Arial" w:hAnsi="Arial" w:cs="Arial"/>
                <w:sz w:val="18"/>
                <w:szCs w:val="18"/>
              </w:rPr>
            </w:pPr>
            <w:proofErr w:type="spellStart"/>
            <w:r w:rsidRPr="006556A2">
              <w:rPr>
                <w:rFonts w:ascii="Arial" w:hAnsi="Arial" w:cs="Arial"/>
                <w:sz w:val="18"/>
                <w:szCs w:val="18"/>
              </w:rPr>
              <w:t>Assumed</w:t>
            </w:r>
            <w:proofErr w:type="spellEnd"/>
          </w:p>
        </w:tc>
      </w:tr>
      <w:tr w:rsidR="00C926EC" w:rsidRPr="00A23F5D" w14:paraId="6A948B03" w14:textId="77777777" w:rsidTr="007D5E1F">
        <w:trPr>
          <w:jc w:val="center"/>
        </w:trPr>
        <w:tc>
          <w:tcPr>
            <w:tcW w:w="0" w:type="auto"/>
            <w:vAlign w:val="center"/>
          </w:tcPr>
          <w:p w14:paraId="1EEFC69A" w14:textId="77777777" w:rsidR="0095377F" w:rsidRPr="006556A2" w:rsidRDefault="0095377F" w:rsidP="007D5E1F">
            <w:pPr>
              <w:spacing w:line="360" w:lineRule="auto"/>
              <w:rPr>
                <w:rFonts w:ascii="Arial" w:hAnsi="Arial" w:cs="Arial"/>
                <w:sz w:val="18"/>
                <w:szCs w:val="18"/>
              </w:rPr>
            </w:pPr>
          </w:p>
        </w:tc>
        <w:tc>
          <w:tcPr>
            <w:tcW w:w="0" w:type="auto"/>
            <w:vAlign w:val="center"/>
          </w:tcPr>
          <w:p w14:paraId="6FA2BC16" w14:textId="77777777" w:rsidR="0095377F" w:rsidRPr="006556A2" w:rsidRDefault="0095377F" w:rsidP="007D5E1F">
            <w:pPr>
              <w:spacing w:line="360" w:lineRule="auto"/>
              <w:rPr>
                <w:rFonts w:ascii="Arial" w:hAnsi="Arial" w:cs="Arial"/>
                <w:sz w:val="18"/>
                <w:szCs w:val="18"/>
              </w:rPr>
            </w:pPr>
          </w:p>
        </w:tc>
        <w:tc>
          <w:tcPr>
            <w:tcW w:w="0" w:type="auto"/>
            <w:vAlign w:val="center"/>
          </w:tcPr>
          <w:p w14:paraId="51169665" w14:textId="77777777" w:rsidR="0095377F" w:rsidRPr="006556A2" w:rsidRDefault="0095377F" w:rsidP="007D5E1F">
            <w:pPr>
              <w:spacing w:line="360" w:lineRule="auto"/>
              <w:rPr>
                <w:rFonts w:ascii="Arial" w:hAnsi="Arial" w:cs="Arial"/>
                <w:sz w:val="18"/>
                <w:szCs w:val="18"/>
              </w:rPr>
            </w:pPr>
          </w:p>
        </w:tc>
      </w:tr>
      <w:tr w:rsidR="00C926EC" w:rsidRPr="00C926EC" w14:paraId="681224E8" w14:textId="77777777" w:rsidTr="007D5E1F">
        <w:trPr>
          <w:jc w:val="center"/>
        </w:trPr>
        <w:tc>
          <w:tcPr>
            <w:tcW w:w="0" w:type="auto"/>
            <w:vAlign w:val="center"/>
          </w:tcPr>
          <w:p w14:paraId="5FA5E8A0" w14:textId="77777777" w:rsidR="0095377F" w:rsidRPr="006556A2" w:rsidRDefault="0095377F" w:rsidP="007D5E1F">
            <w:pPr>
              <w:spacing w:line="360" w:lineRule="auto"/>
              <w:rPr>
                <w:rFonts w:ascii="Arial" w:hAnsi="Arial" w:cs="Arial"/>
                <w:sz w:val="18"/>
                <w:szCs w:val="18"/>
              </w:rPr>
            </w:pPr>
            <w:proofErr w:type="spellStart"/>
            <w:r w:rsidRPr="006556A2">
              <w:rPr>
                <w:rFonts w:ascii="Arial" w:hAnsi="Arial" w:cs="Arial"/>
                <w:sz w:val="18"/>
                <w:szCs w:val="18"/>
              </w:rPr>
              <w:t>p</w:t>
            </w:r>
            <w:r w:rsidRPr="006556A2">
              <w:rPr>
                <w:rFonts w:ascii="Arial" w:hAnsi="Arial" w:cs="Arial"/>
                <w:sz w:val="18"/>
                <w:szCs w:val="18"/>
                <w:vertAlign w:val="subscript"/>
              </w:rPr>
              <w:t>mo</w:t>
            </w:r>
            <w:proofErr w:type="spellEnd"/>
            <w:r w:rsidRPr="006556A2">
              <w:rPr>
                <w:rFonts w:ascii="Arial" w:hAnsi="Arial" w:cs="Arial"/>
                <w:sz w:val="18"/>
                <w:szCs w:val="18"/>
              </w:rPr>
              <w:t xml:space="preserve"> (%)</w:t>
            </w:r>
          </w:p>
        </w:tc>
        <w:tc>
          <w:tcPr>
            <w:tcW w:w="0" w:type="auto"/>
            <w:vAlign w:val="center"/>
          </w:tcPr>
          <w:p w14:paraId="7ADA2999" w14:textId="77777777" w:rsidR="0095377F" w:rsidRPr="006556A2" w:rsidRDefault="0095377F" w:rsidP="007D5E1F">
            <w:pPr>
              <w:spacing w:line="360" w:lineRule="auto"/>
              <w:rPr>
                <w:rFonts w:ascii="Arial" w:hAnsi="Arial" w:cs="Arial"/>
                <w:sz w:val="18"/>
                <w:szCs w:val="18"/>
              </w:rPr>
            </w:pPr>
            <w:r w:rsidRPr="006556A2">
              <w:rPr>
                <w:rFonts w:ascii="Arial" w:hAnsi="Arial" w:cs="Arial"/>
                <w:sz w:val="18"/>
                <w:szCs w:val="18"/>
              </w:rPr>
              <w:t>10</w:t>
            </w:r>
          </w:p>
        </w:tc>
        <w:tc>
          <w:tcPr>
            <w:tcW w:w="0" w:type="auto"/>
            <w:vAlign w:val="center"/>
          </w:tcPr>
          <w:p w14:paraId="1E7ACCDE" w14:textId="77777777" w:rsidR="0095377F" w:rsidRPr="00C926EC" w:rsidRDefault="0095377F" w:rsidP="007D5E1F">
            <w:pPr>
              <w:spacing w:line="360" w:lineRule="auto"/>
              <w:rPr>
                <w:rFonts w:ascii="Arial" w:hAnsi="Arial" w:cs="Arial"/>
                <w:sz w:val="18"/>
                <w:szCs w:val="18"/>
              </w:rPr>
            </w:pPr>
            <w:r w:rsidRPr="00C926EC">
              <w:rPr>
                <w:rFonts w:ascii="Arial" w:hAnsi="Arial" w:cs="Arial"/>
                <w:sz w:val="18"/>
                <w:szCs w:val="18"/>
                <w:lang w:val="en-US"/>
              </w:rPr>
              <w:fldChar w:fldCharType="begin" w:fldLock="1"/>
            </w:r>
            <w:r w:rsidRPr="00A23F5D">
              <w:rPr>
                <w:rFonts w:ascii="Arial" w:hAnsi="Arial" w:cs="Arial"/>
                <w:sz w:val="18"/>
                <w:szCs w:val="18"/>
              </w:rPr>
              <w:instrText>ADDIN CSL_CITATION {"</w:instrText>
            </w:r>
            <w:r w:rsidRPr="00C926EC">
              <w:rPr>
                <w:rFonts w:ascii="Arial" w:hAnsi="Arial" w:cs="Arial"/>
                <w:sz w:val="18"/>
                <w:szCs w:val="18"/>
              </w:rPr>
              <w:instrText>citationItems":[{"id":"ITEM-1","itemData":{"DOI":"10.1016/j.enconman.2020.113058","ISSN":"01968904","abstract":"In this paper we present a techno-economic analysis of a novel route for biomethane – urea co-production from biogas. The idea emerges as an alternative path for improving the profitability of biogas upgrading plants. The profitability of four different biogas plant sizes (100, 250, 500, and 1000 m3/h) in four European countries (Spain, Italy, United Kingdom and Germany) is studied under the current policy schemes for biomethane production of each country. Our study evidences that with the present policy schemes for biomethane production, only medium and large scale plants (500 and 1000 m3/h) in Italy would be profitable. The reason is the current strong support for biomethane production in Italy through feed-in tariffs subsidies. In this sense, we analysed the potential benefits of governmental incentives through bio-methane subsidies (feed-in tariffs and investment percentage). Feed-in tariffs proved to be a worthwhile solution for large plants. Indeed, profitability is reached under subsidies of 30–48 €/MWh. Overall, plants located in southern EU countries are more likely to reach profitability with lower subsidies. The potential of costs reduction (i.e. ammonia price) was also analysed, showing that cutting-down production costs is essential to reduce the amount of subsidies received. In summary, our study shows the challenge that European policies face in the path towards a bio-based economy using biogas upgrading as reference case.","author":[{"dropping-particle":"","family":"Baena-Moreno","given":"Francisco M.","non-dropping-particle":"","parse-names":false,"suffix":""},{"dropping-particle":"","family":"Sebastia-Saez","given":"D.","non-dropping-particle":"","parse-names":false,"suffix":""},{"dropping-particle":"","family":"Wang","given":"Qiang","non-dropping-particle":"","parse-names":false,"suffix":""},{"dropping-particle":"","family":"Reina","given":"T. R.","non-dropping-particle":"","parse-names":false,"suffix":""}],"container-title":"Energy Conversion and Management","id":"ITEM-1","issued":{"date-parts":[["2020"]]},"title":"Is the production of biofuels and bio-chemicals always profitable? Co-production of biomethane and urea from biogas as case study","type":"article-journal"},"uris":["http://www.mendeley.com/documents/?uuid=1a468947-5e8f-41dc-a6db-8156a7b06160"]}],"mendeley":{"formattedCitation":"(Baena-Moreno et al., 2020e)","plainTextFormattedCitation":"(Baena-Moreno et al., 2020e)","previouslyFormattedCitation":"(Baena-Moreno et al., 2020e)"},"properties":{"noteIndex":0},"schema":"https://github.com/citation-style-language/schema/raw/master/csl-citation.json"}</w:instrText>
            </w:r>
            <w:r w:rsidRPr="00C926EC">
              <w:rPr>
                <w:rFonts w:ascii="Arial" w:hAnsi="Arial" w:cs="Arial"/>
                <w:sz w:val="18"/>
                <w:szCs w:val="18"/>
                <w:lang w:val="en-US"/>
              </w:rPr>
              <w:fldChar w:fldCharType="separate"/>
            </w:r>
            <w:r w:rsidRPr="00C926EC">
              <w:rPr>
                <w:rFonts w:ascii="Arial" w:hAnsi="Arial" w:cs="Arial"/>
                <w:noProof/>
                <w:sz w:val="18"/>
                <w:szCs w:val="18"/>
              </w:rPr>
              <w:t>(Baena-Moreno et al., 2020e)</w:t>
            </w:r>
            <w:r w:rsidRPr="00C926EC">
              <w:rPr>
                <w:rFonts w:ascii="Arial" w:hAnsi="Arial" w:cs="Arial"/>
                <w:sz w:val="18"/>
                <w:szCs w:val="18"/>
                <w:lang w:val="en-US"/>
              </w:rPr>
              <w:fldChar w:fldCharType="end"/>
            </w:r>
          </w:p>
        </w:tc>
      </w:tr>
      <w:tr w:rsidR="00C926EC" w:rsidRPr="00C926EC" w14:paraId="3DEC0F7A" w14:textId="77777777" w:rsidTr="007D5E1F">
        <w:trPr>
          <w:jc w:val="center"/>
        </w:trPr>
        <w:tc>
          <w:tcPr>
            <w:tcW w:w="0" w:type="auto"/>
            <w:vAlign w:val="center"/>
          </w:tcPr>
          <w:p w14:paraId="1B1EC455" w14:textId="77777777" w:rsidR="0095377F" w:rsidRPr="00C926EC" w:rsidRDefault="0095377F" w:rsidP="007D5E1F">
            <w:pPr>
              <w:spacing w:line="360" w:lineRule="auto"/>
              <w:rPr>
                <w:rFonts w:ascii="Arial" w:hAnsi="Arial" w:cs="Arial"/>
                <w:sz w:val="18"/>
                <w:szCs w:val="18"/>
              </w:rPr>
            </w:pPr>
          </w:p>
        </w:tc>
        <w:tc>
          <w:tcPr>
            <w:tcW w:w="0" w:type="auto"/>
            <w:vAlign w:val="center"/>
          </w:tcPr>
          <w:p w14:paraId="065EA183" w14:textId="77777777" w:rsidR="0095377F" w:rsidRPr="00C926EC" w:rsidRDefault="0095377F" w:rsidP="007D5E1F">
            <w:pPr>
              <w:spacing w:line="360" w:lineRule="auto"/>
              <w:rPr>
                <w:rFonts w:ascii="Arial" w:hAnsi="Arial" w:cs="Arial"/>
                <w:sz w:val="18"/>
                <w:szCs w:val="18"/>
              </w:rPr>
            </w:pPr>
          </w:p>
        </w:tc>
        <w:tc>
          <w:tcPr>
            <w:tcW w:w="0" w:type="auto"/>
            <w:vAlign w:val="center"/>
          </w:tcPr>
          <w:p w14:paraId="7766CDA4" w14:textId="77777777" w:rsidR="0095377F" w:rsidRPr="00C926EC" w:rsidRDefault="0095377F" w:rsidP="007D5E1F">
            <w:pPr>
              <w:spacing w:line="360" w:lineRule="auto"/>
              <w:rPr>
                <w:rFonts w:ascii="Arial" w:hAnsi="Arial" w:cs="Arial"/>
                <w:sz w:val="18"/>
                <w:szCs w:val="18"/>
              </w:rPr>
            </w:pPr>
          </w:p>
        </w:tc>
      </w:tr>
      <w:tr w:rsidR="00C926EC" w:rsidRPr="00C926EC" w14:paraId="5619CF77" w14:textId="77777777" w:rsidTr="007D5E1F">
        <w:trPr>
          <w:jc w:val="center"/>
        </w:trPr>
        <w:tc>
          <w:tcPr>
            <w:tcW w:w="0" w:type="auto"/>
            <w:vAlign w:val="center"/>
          </w:tcPr>
          <w:p w14:paraId="241AA1C0" w14:textId="77777777" w:rsidR="0095377F" w:rsidRPr="00C926EC" w:rsidRDefault="0095377F" w:rsidP="007D5E1F">
            <w:pPr>
              <w:spacing w:line="360" w:lineRule="auto"/>
              <w:rPr>
                <w:rFonts w:ascii="Arial" w:hAnsi="Arial" w:cs="Arial"/>
                <w:sz w:val="18"/>
                <w:szCs w:val="18"/>
                <w:lang w:val="en-US"/>
              </w:rPr>
            </w:pPr>
            <w:r w:rsidRPr="00C926EC">
              <w:rPr>
                <w:rFonts w:ascii="Arial" w:hAnsi="Arial" w:cs="Arial"/>
                <w:sz w:val="18"/>
                <w:szCs w:val="18"/>
                <w:lang w:val="en-US"/>
              </w:rPr>
              <w:t>p</w:t>
            </w:r>
            <w:r w:rsidRPr="00C926EC">
              <w:rPr>
                <w:rFonts w:ascii="Arial" w:hAnsi="Arial" w:cs="Arial"/>
                <w:sz w:val="18"/>
                <w:szCs w:val="18"/>
                <w:vertAlign w:val="subscript"/>
                <w:lang w:val="en-US"/>
              </w:rPr>
              <w:t>df</w:t>
            </w:r>
            <w:r w:rsidRPr="00C926EC">
              <w:rPr>
                <w:rFonts w:ascii="Arial" w:hAnsi="Arial" w:cs="Arial"/>
                <w:sz w:val="18"/>
                <w:szCs w:val="18"/>
                <w:lang w:val="en-US"/>
              </w:rPr>
              <w:t xml:space="preserve"> (%)</w:t>
            </w:r>
          </w:p>
        </w:tc>
        <w:tc>
          <w:tcPr>
            <w:tcW w:w="0" w:type="auto"/>
            <w:vAlign w:val="center"/>
          </w:tcPr>
          <w:p w14:paraId="2CBC01D7" w14:textId="77777777" w:rsidR="0095377F" w:rsidRPr="00C926EC" w:rsidRDefault="0095377F" w:rsidP="007D5E1F">
            <w:pPr>
              <w:spacing w:line="360" w:lineRule="auto"/>
              <w:rPr>
                <w:rFonts w:ascii="Arial" w:hAnsi="Arial" w:cs="Arial"/>
                <w:sz w:val="18"/>
                <w:szCs w:val="18"/>
                <w:lang w:val="en-US"/>
              </w:rPr>
            </w:pPr>
            <w:r w:rsidRPr="00C926EC">
              <w:rPr>
                <w:rFonts w:ascii="Arial" w:hAnsi="Arial" w:cs="Arial"/>
                <w:sz w:val="18"/>
                <w:szCs w:val="18"/>
                <w:lang w:val="en-US"/>
              </w:rPr>
              <w:t>20</w:t>
            </w:r>
          </w:p>
        </w:tc>
        <w:tc>
          <w:tcPr>
            <w:tcW w:w="0" w:type="auto"/>
            <w:vAlign w:val="center"/>
          </w:tcPr>
          <w:p w14:paraId="439F6CB2" w14:textId="77777777" w:rsidR="0095377F" w:rsidRPr="00C926EC" w:rsidRDefault="0095377F" w:rsidP="007D5E1F">
            <w:pPr>
              <w:spacing w:line="360" w:lineRule="auto"/>
              <w:rPr>
                <w:rFonts w:ascii="Arial" w:hAnsi="Arial" w:cs="Arial"/>
                <w:sz w:val="18"/>
                <w:szCs w:val="18"/>
                <w:lang w:val="en-US"/>
              </w:rPr>
            </w:pPr>
            <w:r w:rsidRPr="00C926EC">
              <w:rPr>
                <w:rFonts w:ascii="Arial" w:hAnsi="Arial" w:cs="Arial"/>
                <w:sz w:val="18"/>
                <w:szCs w:val="18"/>
              </w:rPr>
              <w:fldChar w:fldCharType="begin" w:fldLock="1"/>
            </w:r>
            <w:r w:rsidRPr="00C926EC">
              <w:rPr>
                <w:rFonts w:ascii="Arial" w:hAnsi="Arial" w:cs="Arial"/>
                <w:sz w:val="18"/>
                <w:szCs w:val="18"/>
              </w:rPr>
              <w:instrText>ADDIN CSL_CITATION {"citationItems":[{"id":"ITEM-1","itemData":{"DOI":"10.1016/j.jclepro.2019.05.116","ISSN":"09596526","abstract":"The green revolution represents a substantial investment plan on renewable energy resources (RESs) reducing the country's dependence on fossil fuels energy. Currently, some resources are not completely exploited and the transformation of waste residues into green energy is able to develop circular economy models. Europe has a great potential coming from animal residues and the transport sector has a weak growth of RESs. Biomethane, also called green gas, is a possible valid solution. This work provides an economic analysis regarding both biogas and biomethane plants that use several typologies of animal residues. Net Present Value (NPV) and Discounted Payback Time (DPBT) are used as indexes. The production of electricity by biogas plants contributes to reducing the levels of emissions, but its upgrading can conduct to increase environmental performance. This is not coupled with an increase in profits. Results of the work define the minimum size in which both biogas and biomethane plants are profitable and the key-role of subsidies trying to provide policy guidance to governments and planners.","author":[{"dropping-particle":"","family":"Cucchiella","given":"Federica","non-dropping-particle":"","parse-names":false,"suffix":""},{"dropping-particle":"","family":"D'Adamo","given":"Idiano","non-dropping-particle":"","parse-names":false,"suffix":""},{"dropping-particle":"","family":"Gastaldi","given":"Massimo","non-dropping-particle":"","parse-names":false,"suffix":""}],"container-title":"Journal of Cleaner Production","id":"ITEM-1","issued":{"date-parts":[["2019"]]},"title":"An economic analysis of biogas-biomethane chain from animal residues in Italy","type":"article-journal"},"uris":["http://www.mendeley.com/documents/?uuid=031265b9-16e7-4100-a4a7-97606e909e91"]}],"mendeley":{"formattedCitation":"(Cucchiella et al., 2019a)","plainTextFormattedCitation":"(Cucchiella et al., 2019a)","previouslyFormattedCitation":"(Cucchiella et al., 2019a)"},"properties":{"noteIndex":0},"schema":"https://github.com/citation-style-language/schema/raw/master/csl-citation.json"}</w:instrText>
            </w:r>
            <w:r w:rsidRPr="00C926EC">
              <w:rPr>
                <w:rFonts w:ascii="Arial" w:hAnsi="Arial" w:cs="Arial"/>
                <w:sz w:val="18"/>
                <w:szCs w:val="18"/>
              </w:rPr>
              <w:fldChar w:fldCharType="separate"/>
            </w:r>
            <w:r w:rsidRPr="00C926EC">
              <w:rPr>
                <w:rFonts w:ascii="Arial" w:hAnsi="Arial" w:cs="Arial"/>
                <w:noProof/>
                <w:sz w:val="18"/>
                <w:szCs w:val="18"/>
              </w:rPr>
              <w:t>(Cucchiella et al., 2019a)</w:t>
            </w:r>
            <w:r w:rsidRPr="00C926EC">
              <w:rPr>
                <w:rFonts w:ascii="Arial" w:hAnsi="Arial" w:cs="Arial"/>
                <w:sz w:val="18"/>
                <w:szCs w:val="18"/>
              </w:rPr>
              <w:fldChar w:fldCharType="end"/>
            </w:r>
          </w:p>
        </w:tc>
      </w:tr>
      <w:tr w:rsidR="00C926EC" w:rsidRPr="00C926EC" w14:paraId="6BEF8BD9" w14:textId="77777777" w:rsidTr="007D5E1F">
        <w:trPr>
          <w:jc w:val="center"/>
        </w:trPr>
        <w:tc>
          <w:tcPr>
            <w:tcW w:w="0" w:type="auto"/>
            <w:vAlign w:val="center"/>
          </w:tcPr>
          <w:p w14:paraId="3738EA2A" w14:textId="77777777" w:rsidR="0095377F" w:rsidRPr="00C926EC" w:rsidRDefault="0095377F" w:rsidP="007D5E1F">
            <w:pPr>
              <w:spacing w:line="360" w:lineRule="auto"/>
              <w:rPr>
                <w:rFonts w:ascii="Arial" w:hAnsi="Arial" w:cs="Arial"/>
                <w:sz w:val="18"/>
                <w:szCs w:val="18"/>
                <w:lang w:val="en-US"/>
              </w:rPr>
            </w:pPr>
            <w:r w:rsidRPr="00C926EC">
              <w:rPr>
                <w:rFonts w:ascii="Arial" w:hAnsi="Arial" w:cs="Arial"/>
                <w:sz w:val="18"/>
                <w:szCs w:val="18"/>
                <w:lang w:val="en-US"/>
              </w:rPr>
              <w:t>p</w:t>
            </w:r>
            <w:r w:rsidRPr="00C926EC">
              <w:rPr>
                <w:rFonts w:ascii="Arial" w:hAnsi="Arial" w:cs="Arial"/>
                <w:sz w:val="18"/>
                <w:szCs w:val="18"/>
                <w:vertAlign w:val="subscript"/>
                <w:lang w:val="en-US"/>
              </w:rPr>
              <w:t>ins</w:t>
            </w:r>
            <w:r w:rsidRPr="00C926EC">
              <w:rPr>
                <w:rFonts w:ascii="Arial" w:hAnsi="Arial" w:cs="Arial"/>
                <w:sz w:val="18"/>
                <w:szCs w:val="18"/>
                <w:lang w:val="en-US"/>
              </w:rPr>
              <w:t xml:space="preserve"> (%)</w:t>
            </w:r>
          </w:p>
        </w:tc>
        <w:tc>
          <w:tcPr>
            <w:tcW w:w="0" w:type="auto"/>
            <w:vAlign w:val="center"/>
          </w:tcPr>
          <w:p w14:paraId="1D7C103F" w14:textId="77777777" w:rsidR="0095377F" w:rsidRPr="00C926EC" w:rsidRDefault="0095377F" w:rsidP="007D5E1F">
            <w:pPr>
              <w:spacing w:line="360" w:lineRule="auto"/>
              <w:rPr>
                <w:rFonts w:ascii="Arial" w:hAnsi="Arial" w:cs="Arial"/>
                <w:sz w:val="18"/>
                <w:szCs w:val="18"/>
                <w:lang w:val="en-US"/>
              </w:rPr>
            </w:pPr>
            <w:r w:rsidRPr="00C926EC">
              <w:rPr>
                <w:rFonts w:ascii="Arial" w:hAnsi="Arial" w:cs="Arial"/>
                <w:sz w:val="18"/>
                <w:szCs w:val="18"/>
                <w:lang w:val="en-US"/>
              </w:rPr>
              <w:t>1</w:t>
            </w:r>
          </w:p>
        </w:tc>
        <w:tc>
          <w:tcPr>
            <w:tcW w:w="0" w:type="auto"/>
            <w:vAlign w:val="center"/>
          </w:tcPr>
          <w:p w14:paraId="3B880333" w14:textId="77777777" w:rsidR="0095377F" w:rsidRPr="00C926EC" w:rsidRDefault="0095377F" w:rsidP="007D5E1F">
            <w:pPr>
              <w:spacing w:line="360" w:lineRule="auto"/>
              <w:rPr>
                <w:rFonts w:ascii="Arial" w:hAnsi="Arial" w:cs="Arial"/>
                <w:sz w:val="18"/>
                <w:szCs w:val="18"/>
              </w:rPr>
            </w:pPr>
            <w:r w:rsidRPr="00C926EC">
              <w:rPr>
                <w:rFonts w:ascii="Arial" w:hAnsi="Arial" w:cs="Arial"/>
                <w:sz w:val="18"/>
                <w:szCs w:val="18"/>
                <w:lang w:val="en-US"/>
              </w:rPr>
              <w:fldChar w:fldCharType="begin" w:fldLock="1"/>
            </w:r>
            <w:r w:rsidRPr="00C926EC">
              <w:rPr>
                <w:rFonts w:ascii="Arial" w:hAnsi="Arial" w:cs="Arial"/>
                <w:sz w:val="18"/>
                <w:szCs w:val="18"/>
              </w:rPr>
              <w:instrText>ADDIN CSL_CITATION {"citationItems":[{"id":"ITEM-1","itemData":{"DOI":"10.1016/j.jclepro.2020.121909","author":[{"dropping-particle":"","family":"Baena-Moreno","given":"Francisco M.","non-dropping-particle":"","parse-names":false,"suffix":""},{"dropping-particle":"","family":"Pastor-Pérez","given":"Laura","non-dropping-particle":"","parse-names":false,"suffix":""},{"dropping-particle":"","family":"Wang","given":"Qiang","non-dropping-particle":"","parse-names":false,"suffix":""},{"dropping-particle":"","family":"Reina","given":"T.R.","non-dropping-particle":"","parse-names":false,"suffix":""}],"container-title":"Journal of Cleaner Production","id":"ITEM-1","issued":{"date-parts":[["2020"]]},"title":"Bio-methane and bio-methanol co-production from biogas: A profitability analysis to explore new sustainable chemical processes","type":"article-journal"},"uris":["http://www.mendeley.com/documents/?uuid=90f89e36-d4d2-4dc3-982f-af8553e35e4a"]}],"mendeley":{"formattedCitation":"(Baena-Moreno et al., 2020c)","plainTextFormattedCitation":"(Baena-Moreno et al., 2020c)","previouslyFormattedCitation":"(Baena-Moreno et al., 2020c)"},"properties":{"noteIndex":0},"schema":"https://github.com/citation-style-language/schema/raw/master/csl-citation.json"}</w:instrText>
            </w:r>
            <w:r w:rsidRPr="00C926EC">
              <w:rPr>
                <w:rFonts w:ascii="Arial" w:hAnsi="Arial" w:cs="Arial"/>
                <w:sz w:val="18"/>
                <w:szCs w:val="18"/>
                <w:lang w:val="en-US"/>
              </w:rPr>
              <w:fldChar w:fldCharType="separate"/>
            </w:r>
            <w:r w:rsidRPr="00C926EC">
              <w:rPr>
                <w:rFonts w:ascii="Arial" w:hAnsi="Arial" w:cs="Arial"/>
                <w:noProof/>
                <w:sz w:val="18"/>
                <w:szCs w:val="18"/>
              </w:rPr>
              <w:t>(Baena-Moreno et al., 2020c)</w:t>
            </w:r>
            <w:r w:rsidRPr="00C926EC">
              <w:rPr>
                <w:rFonts w:ascii="Arial" w:hAnsi="Arial" w:cs="Arial"/>
                <w:sz w:val="18"/>
                <w:szCs w:val="18"/>
                <w:lang w:val="en-US"/>
              </w:rPr>
              <w:fldChar w:fldCharType="end"/>
            </w:r>
          </w:p>
        </w:tc>
      </w:tr>
      <w:tr w:rsidR="00C926EC" w:rsidRPr="00C926EC" w14:paraId="7341A477" w14:textId="77777777" w:rsidTr="007D5E1F">
        <w:trPr>
          <w:jc w:val="center"/>
        </w:trPr>
        <w:tc>
          <w:tcPr>
            <w:tcW w:w="0" w:type="auto"/>
            <w:vAlign w:val="center"/>
          </w:tcPr>
          <w:p w14:paraId="5FD4F93E" w14:textId="77777777" w:rsidR="0095377F" w:rsidRPr="00C926EC" w:rsidRDefault="0095377F" w:rsidP="007D5E1F">
            <w:pPr>
              <w:spacing w:line="360" w:lineRule="auto"/>
              <w:rPr>
                <w:rFonts w:ascii="Arial" w:hAnsi="Arial" w:cs="Arial"/>
                <w:sz w:val="18"/>
                <w:szCs w:val="18"/>
                <w:lang w:val="en-US"/>
              </w:rPr>
            </w:pPr>
            <w:proofErr w:type="spellStart"/>
            <w:r w:rsidRPr="00C926EC">
              <w:rPr>
                <w:rFonts w:ascii="Arial" w:hAnsi="Arial" w:cs="Arial"/>
                <w:sz w:val="18"/>
                <w:szCs w:val="18"/>
                <w:lang w:val="en-US"/>
              </w:rPr>
              <w:t>p</w:t>
            </w:r>
            <w:r w:rsidRPr="00C926EC">
              <w:rPr>
                <w:rFonts w:ascii="Arial" w:hAnsi="Arial" w:cs="Arial"/>
                <w:sz w:val="18"/>
                <w:szCs w:val="18"/>
                <w:vertAlign w:val="subscript"/>
                <w:lang w:val="en-US"/>
              </w:rPr>
              <w:t>inst</w:t>
            </w:r>
            <w:proofErr w:type="spellEnd"/>
            <w:r w:rsidRPr="00C926EC">
              <w:rPr>
                <w:rFonts w:ascii="Arial" w:hAnsi="Arial" w:cs="Arial"/>
                <w:sz w:val="18"/>
                <w:szCs w:val="18"/>
                <w:lang w:val="en-US"/>
              </w:rPr>
              <w:t xml:space="preserve"> (%)</w:t>
            </w:r>
          </w:p>
        </w:tc>
        <w:tc>
          <w:tcPr>
            <w:tcW w:w="0" w:type="auto"/>
            <w:vAlign w:val="center"/>
          </w:tcPr>
          <w:p w14:paraId="086AB1A5" w14:textId="77777777" w:rsidR="0095377F" w:rsidRPr="00C926EC" w:rsidRDefault="0095377F" w:rsidP="007D5E1F">
            <w:pPr>
              <w:spacing w:line="360" w:lineRule="auto"/>
              <w:rPr>
                <w:rFonts w:ascii="Arial" w:hAnsi="Arial" w:cs="Arial"/>
                <w:sz w:val="18"/>
                <w:szCs w:val="18"/>
                <w:lang w:val="en-US"/>
              </w:rPr>
            </w:pPr>
            <w:r w:rsidRPr="00C926EC">
              <w:rPr>
                <w:rFonts w:ascii="Arial" w:hAnsi="Arial" w:cs="Arial"/>
                <w:sz w:val="18"/>
                <w:szCs w:val="18"/>
                <w:lang w:val="en-US"/>
              </w:rPr>
              <w:t>20</w:t>
            </w:r>
          </w:p>
        </w:tc>
        <w:tc>
          <w:tcPr>
            <w:tcW w:w="0" w:type="auto"/>
            <w:vAlign w:val="center"/>
          </w:tcPr>
          <w:p w14:paraId="002DAC8F" w14:textId="77777777" w:rsidR="0095377F" w:rsidRPr="00C926EC" w:rsidRDefault="0095377F" w:rsidP="007D5E1F">
            <w:pPr>
              <w:spacing w:line="360" w:lineRule="auto"/>
              <w:rPr>
                <w:rFonts w:ascii="Arial" w:hAnsi="Arial" w:cs="Arial"/>
                <w:sz w:val="18"/>
                <w:szCs w:val="18"/>
                <w:lang w:val="en-US"/>
              </w:rPr>
            </w:pPr>
            <w:r w:rsidRPr="00C926EC">
              <w:rPr>
                <w:rFonts w:ascii="Arial" w:hAnsi="Arial" w:cs="Arial"/>
                <w:sz w:val="18"/>
                <w:szCs w:val="18"/>
                <w:lang w:val="en-US"/>
              </w:rPr>
              <w:fldChar w:fldCharType="begin" w:fldLock="1"/>
            </w:r>
            <w:r w:rsidRPr="00C926EC">
              <w:rPr>
                <w:rFonts w:ascii="Arial" w:hAnsi="Arial" w:cs="Arial"/>
                <w:sz w:val="18"/>
                <w:szCs w:val="18"/>
                <w:lang w:val="en-US"/>
              </w:rPr>
              <w:instrText>ADDIN CSL_CITATION {"citationItems":[{"id":"ITEM-1","itemData":{"DOI":"10.1016/j.apenergy.2015.07.067","ISSN":"03062619","abstract":"The purpose of this paper is to assess via techno-economic and environmental metrics the production of methanol (MeOH) using H2 and captured CO2 as raw materials. It evaluates the potential of this type of carbon capture and utilisation (CCU) plant on (i) the net reduction of CO2 emissions and (ii) the cost of production, in comparison with the conventional synthesis process of MeOH Europe. Process flow modelling is used to estimate the operational performance and the total purchased equipment cost; the flowsheet is implemented in CHEMCAD, and the obtained mass and energy flows are utilised as input to calculate the selected key performance indicators (KPIs). CO2-based metrics are used to assess the environmental impact. The evaluated MeOH plant produces 440ktMeOH/yr, and its configuration is the result of a heat integration process. Its specific capital cost is lower than for conventional plants. However, raw materials prices, i.e. H2 and captured CO2, do not allow such a project to be financially viable. In order to make the CCU plant financially attractive, the price of MeOH should increase in a factor of almost 2, or H2 costs should decrease almost 2.5 times, or CO2 should have a value of around 222€/t, under the assumptions of this work. The MeOH CCU-plant studied can utilise about 21.5% of the CO2 emissions of a pulverised coal (PC) power plant that produces 550MWnet of electricity. The net CO2 emissions savings represent 8% of the emissions of the PC plant (mainly due to the avoidance of consuming fossil fuels as in the conventional MeOH synthesis process). The results demonstrate that there is a net but small potential for CO2 emissions reduction; assuming that such CCU plants are constructed in Europe to meet the MeOH demand growth and the quantities that are currently imported, the net CO2 emissions reduction could be of 2.71MtCO2/yr.","author":[{"dropping-particle":"","family":"Pérez-Fortes","given":"Mar","non-dropping-particle":"","parse-names":false,"suffix":""},{"dropping-particle":"","family":"Schöneberger","given":"Jan C.","non-dropping-particle":"","parse-names":false,"suffix":""},{"dropping-particle":"","family":"Boulamanti","given":"Aikaterini","non-dropping-particle":"","parse-names":false,"suffix":""},{"dropping-particle":"","family":"Tzimas","given":"Evangelos","non-dropping-particle":"","parse-names":false,"suffix":""}],"container-title":"Applied Energy","id":"ITEM-1","issued":{"date-parts":[["2016"]]},"title":"Methanol synthesis using captured CO2 as raw material: Techno-economic and environmental assessment","type":"article-journal"},"uris":["http://www.mendeley.com/documents/?uuid=96e201ca-9fce-4214-ab84-a32fb0526900"]}],"mendeley":{"formattedCitation":"(Pérez-Fortes et al., 2016)","plainTextFormattedCitation":"(Pérez-Fortes et al., 2016)","previouslyFormattedCitation":"(Pérez-Fortes et al., 2016)"},"properties":{"noteIndex":0},"schema":"https://github.com/citation-style-language/schema/raw/master/csl-citation.json"}</w:instrText>
            </w:r>
            <w:r w:rsidRPr="00C926EC">
              <w:rPr>
                <w:rFonts w:ascii="Arial" w:hAnsi="Arial" w:cs="Arial"/>
                <w:sz w:val="18"/>
                <w:szCs w:val="18"/>
                <w:lang w:val="en-US"/>
              </w:rPr>
              <w:fldChar w:fldCharType="separate"/>
            </w:r>
            <w:r w:rsidRPr="00C926EC">
              <w:rPr>
                <w:rFonts w:ascii="Arial" w:hAnsi="Arial" w:cs="Arial"/>
                <w:noProof/>
                <w:sz w:val="18"/>
                <w:szCs w:val="18"/>
                <w:lang w:val="en-US"/>
              </w:rPr>
              <w:t>(Pérez-Fortes et al., 2016)</w:t>
            </w:r>
            <w:r w:rsidRPr="00C926EC">
              <w:rPr>
                <w:rFonts w:ascii="Arial" w:hAnsi="Arial" w:cs="Arial"/>
                <w:sz w:val="18"/>
                <w:szCs w:val="18"/>
                <w:lang w:val="en-US"/>
              </w:rPr>
              <w:fldChar w:fldCharType="end"/>
            </w:r>
          </w:p>
        </w:tc>
      </w:tr>
      <w:tr w:rsidR="00C926EC" w:rsidRPr="00C926EC" w14:paraId="5F3B2F61" w14:textId="77777777" w:rsidTr="007D5E1F">
        <w:trPr>
          <w:jc w:val="center"/>
        </w:trPr>
        <w:tc>
          <w:tcPr>
            <w:tcW w:w="0" w:type="auto"/>
            <w:vAlign w:val="center"/>
          </w:tcPr>
          <w:p w14:paraId="384F641D" w14:textId="77777777" w:rsidR="0095377F" w:rsidRPr="00C926EC" w:rsidRDefault="0095377F" w:rsidP="007D5E1F">
            <w:pPr>
              <w:spacing w:line="360" w:lineRule="auto"/>
              <w:rPr>
                <w:rFonts w:ascii="Arial" w:hAnsi="Arial" w:cs="Arial"/>
                <w:sz w:val="18"/>
                <w:szCs w:val="18"/>
                <w:lang w:val="en-US"/>
              </w:rPr>
            </w:pPr>
            <w:proofErr w:type="spellStart"/>
            <w:r w:rsidRPr="00C926EC">
              <w:rPr>
                <w:rFonts w:ascii="Arial" w:hAnsi="Arial" w:cs="Arial"/>
                <w:sz w:val="18"/>
                <w:szCs w:val="18"/>
                <w:lang w:val="en-US"/>
              </w:rPr>
              <w:t>C</w:t>
            </w:r>
            <w:r w:rsidRPr="00C926EC">
              <w:rPr>
                <w:rFonts w:ascii="Arial" w:hAnsi="Arial" w:cs="Arial"/>
                <w:sz w:val="18"/>
                <w:szCs w:val="18"/>
                <w:vertAlign w:val="subscript"/>
                <w:lang w:val="en-US"/>
              </w:rPr>
              <w:t>ueBU</w:t>
            </w:r>
            <w:proofErr w:type="spellEnd"/>
            <w:r w:rsidRPr="00C926EC">
              <w:rPr>
                <w:rFonts w:ascii="Arial" w:hAnsi="Arial" w:cs="Arial"/>
                <w:sz w:val="18"/>
                <w:szCs w:val="18"/>
                <w:lang w:val="en-US"/>
              </w:rPr>
              <w:t xml:space="preserve"> (kWh/m</w:t>
            </w:r>
            <w:r w:rsidRPr="00C926EC">
              <w:rPr>
                <w:rFonts w:ascii="Arial" w:hAnsi="Arial" w:cs="Arial"/>
                <w:sz w:val="18"/>
                <w:szCs w:val="18"/>
                <w:vertAlign w:val="superscript"/>
                <w:lang w:val="en-US"/>
              </w:rPr>
              <w:t>3</w:t>
            </w:r>
            <w:r w:rsidRPr="00C926EC">
              <w:rPr>
                <w:rFonts w:ascii="Arial" w:hAnsi="Arial" w:cs="Arial"/>
                <w:sz w:val="18"/>
                <w:szCs w:val="18"/>
                <w:lang w:val="en-US"/>
              </w:rPr>
              <w:t xml:space="preserve"> biogas)</w:t>
            </w:r>
          </w:p>
        </w:tc>
        <w:tc>
          <w:tcPr>
            <w:tcW w:w="0" w:type="auto"/>
            <w:vAlign w:val="center"/>
          </w:tcPr>
          <w:p w14:paraId="58C09090" w14:textId="77777777" w:rsidR="0095377F" w:rsidRPr="00C926EC" w:rsidRDefault="0095377F" w:rsidP="007D5E1F">
            <w:pPr>
              <w:spacing w:line="360" w:lineRule="auto"/>
              <w:rPr>
                <w:rFonts w:ascii="Arial" w:hAnsi="Arial" w:cs="Arial"/>
                <w:sz w:val="18"/>
                <w:szCs w:val="18"/>
                <w:lang w:val="en-US"/>
              </w:rPr>
            </w:pPr>
            <w:r w:rsidRPr="00C926EC">
              <w:rPr>
                <w:rFonts w:ascii="Arial" w:hAnsi="Arial" w:cs="Arial"/>
                <w:sz w:val="18"/>
                <w:szCs w:val="18"/>
                <w:lang w:val="en-US"/>
              </w:rPr>
              <w:t>0.29</w:t>
            </w:r>
          </w:p>
        </w:tc>
        <w:tc>
          <w:tcPr>
            <w:tcW w:w="0" w:type="auto"/>
            <w:vAlign w:val="center"/>
          </w:tcPr>
          <w:p w14:paraId="6E76D0F5" w14:textId="77777777" w:rsidR="0095377F" w:rsidRPr="00C926EC" w:rsidRDefault="0095377F" w:rsidP="007D5E1F">
            <w:pPr>
              <w:spacing w:line="360" w:lineRule="auto"/>
              <w:rPr>
                <w:rFonts w:ascii="Arial" w:hAnsi="Arial" w:cs="Arial"/>
                <w:sz w:val="18"/>
                <w:szCs w:val="18"/>
                <w:lang w:val="en-US"/>
              </w:rPr>
            </w:pPr>
            <w:r w:rsidRPr="00C926EC">
              <w:rPr>
                <w:rFonts w:ascii="Arial" w:hAnsi="Arial" w:cs="Arial"/>
                <w:sz w:val="18"/>
                <w:szCs w:val="18"/>
                <w:lang w:val="en-US"/>
              </w:rPr>
              <w:fldChar w:fldCharType="begin" w:fldLock="1"/>
            </w:r>
            <w:r w:rsidRPr="00C926EC">
              <w:rPr>
                <w:rFonts w:ascii="Arial" w:hAnsi="Arial" w:cs="Arial"/>
                <w:sz w:val="18"/>
                <w:szCs w:val="18"/>
                <w:lang w:val="en-US"/>
              </w:rPr>
              <w:instrText>ADDIN CSL_CITATION {"citationItems":[{"id":"ITEM-1","itemData":{"DOI":"10.1016/j.enconman.2016.04.058","ISSN":"01968904","abstract":"Biomethane is a renewable energy useful to encourage the transition to a sustainable energy future. Incentive policies favour its development and consequently this paper evaluates the economic performance for use of biomethane fed into the grid, destined for cogeneration or sold as vehicle fuel. A mathematical model is proposed and the indicators used are Net Present Value and Discounted Payback Time. This paper aims to evaluate the financial feasibility of biomethane plants in function of the plant size (100 m 3 /h, 250 m 3 /h, 500 m 3 /h, 1000 m 3 /h) and the feedstock used (organic fraction of municipal solid waste and a mixture of 30% maize and 70% manure residues on a weight basis) for each final destination of biomethane. Furthermore, a sensitivity analysis on the critical variables is conducted and 356 case studies are overall assessed. The results of the paper demonstrate that the profitability of biomethane plants is verified in several scenarios and it is strongly linked to the subsidies. Biomethane used as vehicle fuel presents greater financial results favouring the increase of share of renewable energy in transport sector and environmental improvements are obtained.","author":[{"dropping-particle":"","family":"Cucchiella","given":"Federica","non-dropping-particle":"","parse-names":false,"suffix":""},{"dropping-particle":"","family":"D'Adamo","given":"Idiano","non-dropping-particle":"","parse-names":false,"suffix":""}],"container-title":"Energy Conversion and Management","id":"ITEM-1","issued":{"date-parts":[["2016"]]},"title":"Technical and economic analysis of biomethane: A focus on the role of subsidies","type":"article-journal"},"uris":["http://www.mendeley.com/documents/?uuid=1397b4d5-3241-4217-be6a-943e2bf04af2"]}],"mendeley":{"formattedCitation":"(Cucchiella and D’Adamo, 2016)","plainTextFormattedCitation":"(Cucchiella and D’Adamo, 2016)","previouslyFormattedCitation":"(Cucchiella and D’Adamo, 2016)"},"properties":{"noteIndex":0},"schema":"https://github.com/citation-style-language/schema/raw/master/csl-citation.json"}</w:instrText>
            </w:r>
            <w:r w:rsidRPr="00C926EC">
              <w:rPr>
                <w:rFonts w:ascii="Arial" w:hAnsi="Arial" w:cs="Arial"/>
                <w:sz w:val="18"/>
                <w:szCs w:val="18"/>
                <w:lang w:val="en-US"/>
              </w:rPr>
              <w:fldChar w:fldCharType="separate"/>
            </w:r>
            <w:r w:rsidRPr="00C926EC">
              <w:rPr>
                <w:rFonts w:ascii="Arial" w:hAnsi="Arial" w:cs="Arial"/>
                <w:noProof/>
                <w:sz w:val="18"/>
                <w:szCs w:val="18"/>
                <w:lang w:val="en-US"/>
              </w:rPr>
              <w:t>(Cucchiella and D’Adamo, 2016)</w:t>
            </w:r>
            <w:r w:rsidRPr="00C926EC">
              <w:rPr>
                <w:rFonts w:ascii="Arial" w:hAnsi="Arial" w:cs="Arial"/>
                <w:sz w:val="18"/>
                <w:szCs w:val="18"/>
                <w:lang w:val="en-US"/>
              </w:rPr>
              <w:fldChar w:fldCharType="end"/>
            </w:r>
          </w:p>
        </w:tc>
      </w:tr>
      <w:tr w:rsidR="00C926EC" w:rsidRPr="00C926EC" w14:paraId="7A008CD4" w14:textId="77777777" w:rsidTr="007D5E1F">
        <w:trPr>
          <w:jc w:val="center"/>
        </w:trPr>
        <w:tc>
          <w:tcPr>
            <w:tcW w:w="0" w:type="auto"/>
            <w:vAlign w:val="center"/>
          </w:tcPr>
          <w:p w14:paraId="7C95771F" w14:textId="77777777" w:rsidR="0095377F" w:rsidRPr="00C926EC" w:rsidRDefault="0095377F" w:rsidP="007D5E1F">
            <w:pPr>
              <w:spacing w:line="360" w:lineRule="auto"/>
              <w:rPr>
                <w:rFonts w:ascii="Arial" w:hAnsi="Arial" w:cs="Arial"/>
                <w:sz w:val="18"/>
                <w:szCs w:val="18"/>
                <w:lang w:val="en-US"/>
              </w:rPr>
            </w:pPr>
            <w:r w:rsidRPr="00C926EC">
              <w:rPr>
                <w:rFonts w:ascii="Arial" w:hAnsi="Arial" w:cs="Arial"/>
                <w:sz w:val="18"/>
                <w:szCs w:val="18"/>
                <w:lang w:val="en-US"/>
              </w:rPr>
              <w:t>p</w:t>
            </w:r>
            <w:r w:rsidRPr="00C926EC">
              <w:rPr>
                <w:rFonts w:ascii="Arial" w:hAnsi="Arial" w:cs="Arial"/>
                <w:sz w:val="18"/>
                <w:szCs w:val="18"/>
                <w:vertAlign w:val="subscript"/>
                <w:lang w:val="en-US"/>
              </w:rPr>
              <w:t>e</w:t>
            </w:r>
            <w:r w:rsidRPr="00C926EC">
              <w:rPr>
                <w:rFonts w:ascii="Arial" w:hAnsi="Arial" w:cs="Arial"/>
                <w:sz w:val="18"/>
                <w:szCs w:val="18"/>
                <w:lang w:val="en-US"/>
              </w:rPr>
              <w:t xml:space="preserve"> (€/kWh)</w:t>
            </w:r>
          </w:p>
        </w:tc>
        <w:tc>
          <w:tcPr>
            <w:tcW w:w="0" w:type="auto"/>
            <w:vAlign w:val="center"/>
          </w:tcPr>
          <w:p w14:paraId="0D07ED21" w14:textId="77777777" w:rsidR="0095377F" w:rsidRPr="00C926EC" w:rsidRDefault="0095377F" w:rsidP="007D5E1F">
            <w:pPr>
              <w:spacing w:line="360" w:lineRule="auto"/>
              <w:rPr>
                <w:rFonts w:ascii="Arial" w:hAnsi="Arial" w:cs="Arial"/>
                <w:sz w:val="18"/>
                <w:szCs w:val="18"/>
                <w:lang w:val="en-US"/>
              </w:rPr>
            </w:pPr>
            <w:r w:rsidRPr="00C926EC">
              <w:rPr>
                <w:rFonts w:ascii="Arial" w:hAnsi="Arial" w:cs="Arial"/>
                <w:sz w:val="18"/>
                <w:szCs w:val="18"/>
                <w:lang w:val="en-US"/>
              </w:rPr>
              <w:t>0.16</w:t>
            </w:r>
          </w:p>
        </w:tc>
        <w:tc>
          <w:tcPr>
            <w:tcW w:w="0" w:type="auto"/>
            <w:vAlign w:val="center"/>
          </w:tcPr>
          <w:p w14:paraId="0420D10D" w14:textId="77777777" w:rsidR="0095377F" w:rsidRPr="00C926EC" w:rsidRDefault="0095377F" w:rsidP="007D5E1F">
            <w:pPr>
              <w:spacing w:line="360" w:lineRule="auto"/>
              <w:rPr>
                <w:rFonts w:ascii="Arial" w:hAnsi="Arial" w:cs="Arial"/>
                <w:sz w:val="18"/>
                <w:szCs w:val="18"/>
                <w:lang w:val="en-US"/>
              </w:rPr>
            </w:pPr>
            <w:r w:rsidRPr="00C926EC">
              <w:rPr>
                <w:rFonts w:ascii="Arial" w:hAnsi="Arial" w:cs="Arial"/>
                <w:sz w:val="18"/>
                <w:szCs w:val="18"/>
                <w:lang w:val="en-US"/>
              </w:rPr>
              <w:fldChar w:fldCharType="begin" w:fldLock="1"/>
            </w:r>
            <w:r w:rsidRPr="00C926EC">
              <w:rPr>
                <w:rFonts w:ascii="Arial" w:hAnsi="Arial" w:cs="Arial"/>
                <w:sz w:val="18"/>
                <w:szCs w:val="18"/>
                <w:lang w:val="en-US"/>
              </w:rPr>
              <w:instrText>ADDIN CSL_CITATION {"citationItems":[{"id":"ITEM-1","itemData":{"URL":"https://www.pordata.pt/en/Europe/Electricity+prices+for+households+and+industrial+users+(Euro+ECU)-1477","accessed":{"date-parts":[["2019","7","18"]]},"author":[{"dropping-particle":"","family":"PORDATA","given":"","non-dropping-particle":"","parse-names":false,"suffix":""}],"container-title":"Fundacao Francisco Manuel dos Santos","id":"ITEM-1","issued":{"date-parts":[["2019"]]},"page":"1-2","title":"Electricity prices for households and industrial users (Euro/ECU)","type":"webpage"},"uris":["http://www.mendeley.com/documents/?uuid=03f786f7-88fb-495d-a61e-fe1887f3385a"]}],"mendeley":{"formattedCitation":"(PORDATA, 2019)","plainTextFormattedCitation":"(PORDATA, 2019)","previouslyFormattedCitation":"(PORDATA, 2019)"},"properties":{"noteIndex":0},"schema":"https://github.com/citation-style-language/schema/raw/master/csl-citation.json"}</w:instrText>
            </w:r>
            <w:r w:rsidRPr="00C926EC">
              <w:rPr>
                <w:rFonts w:ascii="Arial" w:hAnsi="Arial" w:cs="Arial"/>
                <w:sz w:val="18"/>
                <w:szCs w:val="18"/>
                <w:lang w:val="en-US"/>
              </w:rPr>
              <w:fldChar w:fldCharType="separate"/>
            </w:r>
            <w:r w:rsidRPr="00C926EC">
              <w:rPr>
                <w:rFonts w:ascii="Arial" w:hAnsi="Arial" w:cs="Arial"/>
                <w:noProof/>
                <w:sz w:val="18"/>
                <w:szCs w:val="18"/>
                <w:lang w:val="en-US"/>
              </w:rPr>
              <w:t>(PORDATA, 2019)</w:t>
            </w:r>
            <w:r w:rsidRPr="00C926EC">
              <w:rPr>
                <w:rFonts w:ascii="Arial" w:hAnsi="Arial" w:cs="Arial"/>
                <w:sz w:val="18"/>
                <w:szCs w:val="18"/>
                <w:lang w:val="en-US"/>
              </w:rPr>
              <w:fldChar w:fldCharType="end"/>
            </w:r>
          </w:p>
        </w:tc>
      </w:tr>
      <w:tr w:rsidR="00C926EC" w:rsidRPr="00C926EC" w14:paraId="78C4FEDC" w14:textId="77777777" w:rsidTr="007D5E1F">
        <w:trPr>
          <w:jc w:val="center"/>
        </w:trPr>
        <w:tc>
          <w:tcPr>
            <w:tcW w:w="0" w:type="auto"/>
            <w:vAlign w:val="center"/>
          </w:tcPr>
          <w:p w14:paraId="02278832" w14:textId="77777777" w:rsidR="0095377F" w:rsidRPr="00C926EC" w:rsidRDefault="0095377F" w:rsidP="007D5E1F">
            <w:pPr>
              <w:spacing w:line="360" w:lineRule="auto"/>
              <w:rPr>
                <w:rFonts w:ascii="Arial" w:hAnsi="Arial" w:cs="Arial"/>
                <w:sz w:val="18"/>
                <w:szCs w:val="18"/>
                <w:lang w:val="en-US"/>
              </w:rPr>
            </w:pPr>
            <w:proofErr w:type="spellStart"/>
            <w:r w:rsidRPr="00C926EC">
              <w:rPr>
                <w:rFonts w:ascii="Arial" w:hAnsi="Arial" w:cs="Arial"/>
                <w:sz w:val="18"/>
                <w:szCs w:val="18"/>
                <w:lang w:val="en-US"/>
              </w:rPr>
              <w:t>C</w:t>
            </w:r>
            <w:r w:rsidRPr="00C926EC">
              <w:rPr>
                <w:rFonts w:ascii="Arial" w:hAnsi="Arial" w:cs="Arial"/>
                <w:sz w:val="18"/>
                <w:szCs w:val="18"/>
                <w:vertAlign w:val="subscript"/>
                <w:lang w:val="en-US"/>
              </w:rPr>
              <w:t>labu</w:t>
            </w:r>
            <w:proofErr w:type="spellEnd"/>
            <w:r w:rsidRPr="00C926EC">
              <w:rPr>
                <w:rFonts w:ascii="Arial" w:hAnsi="Arial" w:cs="Arial"/>
                <w:sz w:val="18"/>
                <w:szCs w:val="18"/>
                <w:lang w:val="en-US"/>
              </w:rPr>
              <w:t xml:space="preserve"> (€/y/worker)</w:t>
            </w:r>
          </w:p>
        </w:tc>
        <w:tc>
          <w:tcPr>
            <w:tcW w:w="0" w:type="auto"/>
            <w:vAlign w:val="center"/>
          </w:tcPr>
          <w:p w14:paraId="41A09E49" w14:textId="77777777" w:rsidR="0095377F" w:rsidRPr="00C926EC" w:rsidRDefault="0095377F" w:rsidP="007D5E1F">
            <w:pPr>
              <w:spacing w:line="360" w:lineRule="auto"/>
              <w:rPr>
                <w:rFonts w:ascii="Arial" w:hAnsi="Arial" w:cs="Arial"/>
                <w:sz w:val="18"/>
                <w:szCs w:val="18"/>
                <w:lang w:val="en-US"/>
              </w:rPr>
            </w:pPr>
            <w:r w:rsidRPr="00C926EC">
              <w:rPr>
                <w:rFonts w:ascii="Arial" w:hAnsi="Arial" w:cs="Arial"/>
                <w:sz w:val="18"/>
                <w:szCs w:val="18"/>
                <w:lang w:val="en-US"/>
              </w:rPr>
              <w:t>62400</w:t>
            </w:r>
          </w:p>
        </w:tc>
        <w:tc>
          <w:tcPr>
            <w:tcW w:w="0" w:type="auto"/>
            <w:vAlign w:val="center"/>
          </w:tcPr>
          <w:p w14:paraId="49E5323C" w14:textId="77777777" w:rsidR="0095377F" w:rsidRPr="00C926EC" w:rsidRDefault="0095377F" w:rsidP="007D5E1F">
            <w:pPr>
              <w:spacing w:line="360" w:lineRule="auto"/>
              <w:rPr>
                <w:rFonts w:ascii="Arial" w:hAnsi="Arial" w:cs="Arial"/>
                <w:sz w:val="18"/>
                <w:szCs w:val="18"/>
                <w:lang w:val="en-US"/>
              </w:rPr>
            </w:pPr>
            <w:r w:rsidRPr="00C926EC">
              <w:rPr>
                <w:rFonts w:ascii="Arial" w:hAnsi="Arial" w:cs="Arial"/>
                <w:sz w:val="18"/>
                <w:szCs w:val="18"/>
                <w:lang w:val="en-US"/>
              </w:rPr>
              <w:fldChar w:fldCharType="begin" w:fldLock="1"/>
            </w:r>
            <w:r w:rsidRPr="00C926EC">
              <w:rPr>
                <w:rFonts w:ascii="Arial" w:hAnsi="Arial" w:cs="Arial"/>
                <w:sz w:val="18"/>
                <w:szCs w:val="18"/>
                <w:lang w:val="en-US"/>
              </w:rPr>
              <w:instrText>ADDIN CSL_CITATION {"citationItems":[{"id":"ITEM-1","itemData":{"author":[{"dropping-particle":"","family":"Kingdom","given":"Office for National Stadistics of United","non-dropping-particle":"","parse-names":false,"suffix":""}],"id":"ITEM-1","issued":{"date-parts":[["2020"]]},"publisher-place":"London","title":"Index of Labour Costs per Hour, UK: October to December 2019","type":"report"},"uris":["http://www.mendeley.com/documents/?uuid=545a2bc7-9f12-48d2-bbba-bd4392e87274","http://www.mendeley.com/documents/?uuid=740e811c-b455-46ab-985e-1c3f54654065"]}],"mendeley":{"formattedCitation":"(Kingdom, 2020)","plainTextFormattedCitation":"(Kingdom, 2020)","previouslyFormattedCitation":"(Kingdom, 2020)"},"properties":{"noteIndex":0},"schema":"https://github.com/citation-style-language/schema/raw/master/csl-citation.json"}</w:instrText>
            </w:r>
            <w:r w:rsidRPr="00C926EC">
              <w:rPr>
                <w:rFonts w:ascii="Arial" w:hAnsi="Arial" w:cs="Arial"/>
                <w:sz w:val="18"/>
                <w:szCs w:val="18"/>
                <w:lang w:val="en-US"/>
              </w:rPr>
              <w:fldChar w:fldCharType="separate"/>
            </w:r>
            <w:r w:rsidRPr="00C926EC">
              <w:rPr>
                <w:rFonts w:ascii="Arial" w:hAnsi="Arial" w:cs="Arial"/>
                <w:noProof/>
                <w:sz w:val="18"/>
                <w:szCs w:val="18"/>
                <w:lang w:val="en-US"/>
              </w:rPr>
              <w:t>(Kingdom, 2020)</w:t>
            </w:r>
            <w:r w:rsidRPr="00C926EC">
              <w:rPr>
                <w:rFonts w:ascii="Arial" w:hAnsi="Arial" w:cs="Arial"/>
                <w:sz w:val="18"/>
                <w:szCs w:val="18"/>
                <w:lang w:val="en-US"/>
              </w:rPr>
              <w:fldChar w:fldCharType="end"/>
            </w:r>
          </w:p>
        </w:tc>
      </w:tr>
      <w:tr w:rsidR="00C926EC" w:rsidRPr="00C926EC" w14:paraId="43BA8303" w14:textId="77777777" w:rsidTr="007D5E1F">
        <w:trPr>
          <w:jc w:val="center"/>
        </w:trPr>
        <w:tc>
          <w:tcPr>
            <w:tcW w:w="0" w:type="auto"/>
            <w:vAlign w:val="center"/>
          </w:tcPr>
          <w:p w14:paraId="387240AC" w14:textId="77777777" w:rsidR="0095377F" w:rsidRPr="00C926EC" w:rsidRDefault="0095377F" w:rsidP="007D5E1F">
            <w:pPr>
              <w:spacing w:line="360" w:lineRule="auto"/>
              <w:rPr>
                <w:rFonts w:ascii="Arial" w:hAnsi="Arial" w:cs="Arial"/>
                <w:sz w:val="18"/>
                <w:szCs w:val="18"/>
                <w:lang w:val="en-US"/>
              </w:rPr>
            </w:pPr>
            <w:proofErr w:type="spellStart"/>
            <w:r w:rsidRPr="00C926EC">
              <w:rPr>
                <w:rFonts w:ascii="Arial" w:hAnsi="Arial" w:cs="Arial"/>
                <w:sz w:val="18"/>
                <w:szCs w:val="18"/>
                <w:lang w:val="en-US"/>
              </w:rPr>
              <w:t>n</w:t>
            </w:r>
            <w:r w:rsidRPr="00C926EC">
              <w:rPr>
                <w:rFonts w:ascii="Arial" w:hAnsi="Arial" w:cs="Arial"/>
                <w:sz w:val="18"/>
                <w:szCs w:val="18"/>
                <w:vertAlign w:val="subscript"/>
                <w:lang w:val="en-US"/>
              </w:rPr>
              <w:t>op</w:t>
            </w:r>
            <w:proofErr w:type="spellEnd"/>
            <w:r w:rsidRPr="00C926EC">
              <w:rPr>
                <w:rFonts w:ascii="Arial" w:hAnsi="Arial" w:cs="Arial"/>
                <w:sz w:val="18"/>
                <w:szCs w:val="18"/>
                <w:lang w:val="en-US"/>
              </w:rPr>
              <w:t xml:space="preserve"> (worker)</w:t>
            </w:r>
          </w:p>
        </w:tc>
        <w:tc>
          <w:tcPr>
            <w:tcW w:w="0" w:type="auto"/>
            <w:vAlign w:val="center"/>
          </w:tcPr>
          <w:p w14:paraId="1227DEFA" w14:textId="77777777" w:rsidR="0095377F" w:rsidRPr="00C926EC" w:rsidRDefault="0095377F" w:rsidP="007D5E1F">
            <w:pPr>
              <w:spacing w:line="360" w:lineRule="auto"/>
              <w:rPr>
                <w:rFonts w:ascii="Arial" w:hAnsi="Arial" w:cs="Arial"/>
                <w:sz w:val="18"/>
                <w:szCs w:val="18"/>
                <w:lang w:val="en-US"/>
              </w:rPr>
            </w:pPr>
            <w:r w:rsidRPr="00C926EC">
              <w:rPr>
                <w:rFonts w:ascii="Arial" w:hAnsi="Arial" w:cs="Arial"/>
                <w:sz w:val="18"/>
                <w:szCs w:val="18"/>
                <w:lang w:val="en-US"/>
              </w:rPr>
              <w:t>4</w:t>
            </w:r>
          </w:p>
        </w:tc>
        <w:tc>
          <w:tcPr>
            <w:tcW w:w="0" w:type="auto"/>
            <w:vAlign w:val="center"/>
          </w:tcPr>
          <w:p w14:paraId="1EA1E428" w14:textId="77777777" w:rsidR="0095377F" w:rsidRPr="00C926EC" w:rsidRDefault="0095377F" w:rsidP="007D5E1F">
            <w:pPr>
              <w:spacing w:line="360" w:lineRule="auto"/>
              <w:rPr>
                <w:rFonts w:ascii="Arial" w:hAnsi="Arial" w:cs="Arial"/>
                <w:sz w:val="18"/>
                <w:szCs w:val="18"/>
              </w:rPr>
            </w:pPr>
            <w:r w:rsidRPr="00C926EC">
              <w:rPr>
                <w:rFonts w:ascii="Arial" w:hAnsi="Arial" w:cs="Arial"/>
                <w:sz w:val="18"/>
                <w:szCs w:val="18"/>
                <w:lang w:val="en-US"/>
              </w:rPr>
              <w:fldChar w:fldCharType="begin" w:fldLock="1"/>
            </w:r>
            <w:r w:rsidRPr="00C926EC">
              <w:rPr>
                <w:rFonts w:ascii="Arial" w:hAnsi="Arial" w:cs="Arial"/>
                <w:sz w:val="18"/>
                <w:szCs w:val="18"/>
              </w:rPr>
              <w:instrText>ADDIN CSL_CITATION {"citationItems":[{"id":"ITEM-1","itemData":{"DOI":"10.1016/j.energy.2020.118158","ISSN":"03605442","abstract":"A novel analysis addresses the economic viability of biomethane production from small biogas plants in South Spain, as a claim to promote the use of green energy and reduce the consumption of natural gas. To this end, the importance of governmental incentives to reach profitability in biomethane plants is illustrated through a case study. To date, no study addressing this problem specifically for South Spain can be found. The study considers the whole process from biogas production to biomethane feeding into the grid, for three different biomethane capacities (50, 100 and 150 m3/h) and includes an exhaustive sensitivity analysis. For the three cases, implementing a biomethane plant is not viable and, therefore, not attractive for investors. Results considering biomethane governmental incentives as feed-in premia show significant improvements on the profitability of the largest plants. For example, supporting 150 m3/h biomethane production capacity plants with a premium price of only 6 €/MWh (6.6 cents/m3) results in 270 k€ NPV. Nevertheless, the smallest biomethane plants are hardly feasible. Concerning governmental support through investment subsidies, 150 m3/h plants are profitable if 10% of the investment is subsidized, whereas the smallest plants do not reach profitability even if 50% of the investment is subsidized.","author":[{"dropping-particle":"","family":"Baena-Moreno","given":"Francisco M.","non-dropping-particle":"","parse-names":false,"suffix":""},{"dropping-particle":"","family":"Malico","given":"Isabel","non-dropping-particle":"","parse-names":false,"suffix":""},{"dropping-particle":"","family":"Rodríguez-Galán","given":"Mónica","non-dropping-particle":"","parse-names":false,"suffix":""},{"dropping-particle":"","family":"Serrano","given":"Antonio","non-dropping-particle":"","parse-names":false,"suffix":""},{"dropping-particle":"","family":"Fermoso","given":"Fernando G.","non-dropping-particle":"","parse-names":false,"suffix":""},{"dropping-particle":"","family":"Navarrete","given":"Benito","non-dropping-particle":"","parse-names":false,"suffix":""}],"container-title":"Energy","id":"ITEM-1","issued":{"date-parts":[["2020"]]},"title":"The importance of governmental incentives for small biomethane plants in South Spain","type":"article-journal"},"uris":["http://www.mendeley.com/documents/?uuid=56c3ae58-6318-4622-82e7-bb5a8f328a04"]}],"mendeley":{"formattedCitation":"(Baena-Moreno et al., 2020b)","plainTextFormattedCitation":"(Baena-Moreno et al., 2020b)","previouslyFormattedCitation":"(Baena-Moreno et al., 2020b)"},"properties":{"noteIndex":0},"schema":"https://github.com/citation-style-language/schema/raw/master/csl-citation.json"}</w:instrText>
            </w:r>
            <w:r w:rsidRPr="00C926EC">
              <w:rPr>
                <w:rFonts w:ascii="Arial" w:hAnsi="Arial" w:cs="Arial"/>
                <w:sz w:val="18"/>
                <w:szCs w:val="18"/>
                <w:lang w:val="en-US"/>
              </w:rPr>
              <w:fldChar w:fldCharType="separate"/>
            </w:r>
            <w:r w:rsidRPr="00C926EC">
              <w:rPr>
                <w:rFonts w:ascii="Arial" w:hAnsi="Arial" w:cs="Arial"/>
                <w:noProof/>
                <w:sz w:val="18"/>
                <w:szCs w:val="18"/>
              </w:rPr>
              <w:t>(Baena-Moreno et al., 2020b)</w:t>
            </w:r>
            <w:r w:rsidRPr="00C926EC">
              <w:rPr>
                <w:rFonts w:ascii="Arial" w:hAnsi="Arial" w:cs="Arial"/>
                <w:sz w:val="18"/>
                <w:szCs w:val="18"/>
                <w:lang w:val="en-US"/>
              </w:rPr>
              <w:fldChar w:fldCharType="end"/>
            </w:r>
          </w:p>
        </w:tc>
      </w:tr>
      <w:tr w:rsidR="0095377F" w:rsidRPr="00C926EC" w14:paraId="5FA4DD92" w14:textId="77777777" w:rsidTr="007D5E1F">
        <w:trPr>
          <w:jc w:val="center"/>
        </w:trPr>
        <w:tc>
          <w:tcPr>
            <w:tcW w:w="0" w:type="auto"/>
            <w:tcBorders>
              <w:bottom w:val="single" w:sz="4" w:space="0" w:color="auto"/>
            </w:tcBorders>
            <w:vAlign w:val="center"/>
          </w:tcPr>
          <w:p w14:paraId="6540D192" w14:textId="77777777" w:rsidR="0095377F" w:rsidRPr="00C926EC" w:rsidRDefault="0095377F" w:rsidP="007D5E1F">
            <w:pPr>
              <w:spacing w:line="360" w:lineRule="auto"/>
              <w:rPr>
                <w:rFonts w:ascii="Arial" w:hAnsi="Arial" w:cs="Arial"/>
                <w:sz w:val="18"/>
                <w:szCs w:val="18"/>
                <w:lang w:val="en-US"/>
              </w:rPr>
            </w:pPr>
            <w:proofErr w:type="spellStart"/>
            <w:r w:rsidRPr="00C926EC">
              <w:rPr>
                <w:rFonts w:ascii="Arial" w:hAnsi="Arial" w:cs="Arial"/>
                <w:sz w:val="18"/>
                <w:szCs w:val="18"/>
                <w:lang w:val="en-US"/>
              </w:rPr>
              <w:t>n</w:t>
            </w:r>
            <w:r w:rsidRPr="00C926EC">
              <w:rPr>
                <w:rFonts w:ascii="Arial" w:hAnsi="Arial" w:cs="Arial"/>
                <w:sz w:val="18"/>
                <w:szCs w:val="18"/>
                <w:vertAlign w:val="subscript"/>
                <w:lang w:val="en-US"/>
              </w:rPr>
              <w:t>wh</w:t>
            </w:r>
            <w:proofErr w:type="spellEnd"/>
            <w:r w:rsidRPr="00C926EC">
              <w:rPr>
                <w:rFonts w:ascii="Arial" w:hAnsi="Arial" w:cs="Arial"/>
                <w:sz w:val="18"/>
                <w:szCs w:val="18"/>
                <w:lang w:val="en-US"/>
              </w:rPr>
              <w:t xml:space="preserve"> (h/y)</w:t>
            </w:r>
          </w:p>
        </w:tc>
        <w:tc>
          <w:tcPr>
            <w:tcW w:w="0" w:type="auto"/>
            <w:tcBorders>
              <w:bottom w:val="single" w:sz="4" w:space="0" w:color="auto"/>
            </w:tcBorders>
            <w:vAlign w:val="center"/>
          </w:tcPr>
          <w:p w14:paraId="02B4B2D2" w14:textId="77777777" w:rsidR="0095377F" w:rsidRPr="00C926EC" w:rsidRDefault="0095377F" w:rsidP="007D5E1F">
            <w:pPr>
              <w:spacing w:line="360" w:lineRule="auto"/>
              <w:rPr>
                <w:rFonts w:ascii="Arial" w:hAnsi="Arial" w:cs="Arial"/>
                <w:sz w:val="18"/>
                <w:szCs w:val="18"/>
                <w:lang w:val="en-US"/>
              </w:rPr>
            </w:pPr>
            <w:r w:rsidRPr="00C926EC">
              <w:rPr>
                <w:rFonts w:ascii="Arial" w:hAnsi="Arial" w:cs="Arial"/>
                <w:sz w:val="18"/>
                <w:szCs w:val="18"/>
                <w:lang w:val="en-US"/>
              </w:rPr>
              <w:t>8000</w:t>
            </w:r>
          </w:p>
        </w:tc>
        <w:tc>
          <w:tcPr>
            <w:tcW w:w="0" w:type="auto"/>
            <w:tcBorders>
              <w:bottom w:val="single" w:sz="4" w:space="0" w:color="auto"/>
            </w:tcBorders>
            <w:vAlign w:val="center"/>
          </w:tcPr>
          <w:p w14:paraId="693CE187" w14:textId="77777777" w:rsidR="0095377F" w:rsidRPr="00C926EC" w:rsidRDefault="0095377F" w:rsidP="007D5E1F">
            <w:pPr>
              <w:spacing w:line="360" w:lineRule="auto"/>
              <w:rPr>
                <w:rFonts w:ascii="Arial" w:hAnsi="Arial" w:cs="Arial"/>
                <w:sz w:val="18"/>
                <w:szCs w:val="18"/>
                <w:lang w:val="en-US"/>
              </w:rPr>
            </w:pPr>
            <w:r w:rsidRPr="00C926EC">
              <w:rPr>
                <w:rFonts w:ascii="Arial" w:hAnsi="Arial" w:cs="Arial"/>
                <w:sz w:val="18"/>
                <w:szCs w:val="18"/>
                <w:lang w:val="en-US"/>
              </w:rPr>
              <w:t>Assumed</w:t>
            </w:r>
          </w:p>
        </w:tc>
      </w:tr>
    </w:tbl>
    <w:p w14:paraId="52D51F9A" w14:textId="77777777" w:rsidR="0095377F" w:rsidRPr="00C926EC" w:rsidRDefault="0095377F" w:rsidP="0095377F">
      <w:pPr>
        <w:spacing w:line="480" w:lineRule="auto"/>
        <w:jc w:val="both"/>
        <w:rPr>
          <w:rFonts w:ascii="Arial" w:eastAsiaTheme="minorEastAsia" w:hAnsi="Arial" w:cs="Arial"/>
          <w:sz w:val="24"/>
          <w:szCs w:val="24"/>
        </w:rPr>
      </w:pPr>
    </w:p>
    <w:p w14:paraId="1FA1F7DE" w14:textId="77777777" w:rsidR="0095377F" w:rsidRPr="00C926EC" w:rsidRDefault="0095377F" w:rsidP="0095377F">
      <w:pPr>
        <w:spacing w:line="480" w:lineRule="auto"/>
        <w:jc w:val="center"/>
        <w:rPr>
          <w:rFonts w:ascii="Arial" w:eastAsiaTheme="minorEastAsia" w:hAnsi="Arial" w:cs="Arial"/>
          <w:sz w:val="24"/>
          <w:szCs w:val="24"/>
          <w:lang w:val="en-US"/>
        </w:rPr>
      </w:pPr>
      <w:r w:rsidRPr="00C926EC">
        <w:rPr>
          <w:rFonts w:ascii="Arial" w:eastAsiaTheme="minorEastAsia" w:hAnsi="Arial" w:cs="Arial"/>
          <w:sz w:val="24"/>
          <w:szCs w:val="24"/>
          <w:lang w:val="en-US"/>
        </w:rPr>
        <w:t>Table 2. Matrix of the scenarios analyzed.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
        <w:gridCol w:w="1120"/>
        <w:gridCol w:w="1371"/>
        <w:gridCol w:w="1690"/>
        <w:gridCol w:w="1290"/>
        <w:gridCol w:w="2141"/>
      </w:tblGrid>
      <w:tr w:rsidR="00C926EC" w:rsidRPr="006556A2" w14:paraId="4D33858B" w14:textId="77777777" w:rsidTr="007D5E1F">
        <w:trPr>
          <w:jc w:val="center"/>
        </w:trPr>
        <w:tc>
          <w:tcPr>
            <w:tcW w:w="0" w:type="auto"/>
            <w:tcBorders>
              <w:bottom w:val="single" w:sz="4" w:space="0" w:color="auto"/>
              <w:right w:val="single" w:sz="4" w:space="0" w:color="auto"/>
            </w:tcBorders>
            <w:vAlign w:val="center"/>
          </w:tcPr>
          <w:p w14:paraId="23AED1C6" w14:textId="77777777" w:rsidR="0095377F" w:rsidRPr="00C926EC" w:rsidRDefault="0095377F" w:rsidP="007D5E1F">
            <w:pPr>
              <w:rPr>
                <w:rFonts w:ascii="Arial" w:hAnsi="Arial" w:cs="Arial"/>
                <w:b/>
                <w:sz w:val="16"/>
                <w:szCs w:val="16"/>
                <w:lang w:val="en-US"/>
              </w:rPr>
            </w:pPr>
            <w:r w:rsidRPr="00C926EC">
              <w:rPr>
                <w:rFonts w:ascii="Arial" w:hAnsi="Arial" w:cs="Arial"/>
                <w:b/>
                <w:sz w:val="16"/>
                <w:szCs w:val="16"/>
                <w:lang w:val="en-US"/>
              </w:rPr>
              <w:t>Scenario</w:t>
            </w:r>
          </w:p>
        </w:tc>
        <w:tc>
          <w:tcPr>
            <w:tcW w:w="0" w:type="auto"/>
            <w:tcBorders>
              <w:left w:val="single" w:sz="4" w:space="0" w:color="auto"/>
              <w:bottom w:val="single" w:sz="4" w:space="0" w:color="auto"/>
            </w:tcBorders>
            <w:vAlign w:val="center"/>
          </w:tcPr>
          <w:p w14:paraId="04B24F68" w14:textId="77777777" w:rsidR="0095377F" w:rsidRPr="00C926EC" w:rsidRDefault="0095377F" w:rsidP="007D5E1F">
            <w:pPr>
              <w:rPr>
                <w:rFonts w:ascii="Arial" w:hAnsi="Arial" w:cs="Arial"/>
                <w:b/>
                <w:sz w:val="16"/>
                <w:szCs w:val="16"/>
                <w:lang w:val="en-US"/>
              </w:rPr>
            </w:pPr>
            <w:r w:rsidRPr="00C926EC">
              <w:rPr>
                <w:rFonts w:ascii="Arial" w:hAnsi="Arial" w:cs="Arial"/>
                <w:b/>
                <w:sz w:val="16"/>
                <w:szCs w:val="16"/>
                <w:lang w:val="en-US"/>
              </w:rPr>
              <w:t>Biogas plant (m</w:t>
            </w:r>
            <w:r w:rsidRPr="00C926EC">
              <w:rPr>
                <w:rFonts w:ascii="Arial" w:hAnsi="Arial" w:cs="Arial"/>
                <w:b/>
                <w:sz w:val="16"/>
                <w:szCs w:val="16"/>
                <w:vertAlign w:val="superscript"/>
                <w:lang w:val="en-US"/>
              </w:rPr>
              <w:t>3</w:t>
            </w:r>
            <w:r w:rsidRPr="00C926EC">
              <w:rPr>
                <w:rFonts w:ascii="Arial" w:hAnsi="Arial" w:cs="Arial"/>
                <w:b/>
                <w:sz w:val="16"/>
                <w:szCs w:val="16"/>
                <w:lang w:val="en-US"/>
              </w:rPr>
              <w:t>/h)</w:t>
            </w:r>
          </w:p>
        </w:tc>
        <w:tc>
          <w:tcPr>
            <w:tcW w:w="0" w:type="auto"/>
            <w:tcBorders>
              <w:bottom w:val="single" w:sz="4" w:space="0" w:color="auto"/>
            </w:tcBorders>
            <w:vAlign w:val="center"/>
          </w:tcPr>
          <w:p w14:paraId="479CFE48" w14:textId="77777777" w:rsidR="0095377F" w:rsidRPr="00C926EC" w:rsidRDefault="0095377F" w:rsidP="007D5E1F">
            <w:pPr>
              <w:rPr>
                <w:rFonts w:ascii="Arial" w:hAnsi="Arial" w:cs="Arial"/>
                <w:b/>
                <w:sz w:val="16"/>
                <w:szCs w:val="16"/>
                <w:lang w:val="en-US"/>
              </w:rPr>
            </w:pPr>
            <w:r w:rsidRPr="00C926EC">
              <w:rPr>
                <w:rFonts w:ascii="Arial" w:hAnsi="Arial" w:cs="Arial"/>
                <w:b/>
                <w:sz w:val="16"/>
                <w:szCs w:val="16"/>
                <w:lang w:val="en-US"/>
              </w:rPr>
              <w:t>Distance to the grid (km)</w:t>
            </w:r>
          </w:p>
        </w:tc>
        <w:tc>
          <w:tcPr>
            <w:tcW w:w="0" w:type="auto"/>
            <w:tcBorders>
              <w:bottom w:val="single" w:sz="4" w:space="0" w:color="auto"/>
            </w:tcBorders>
            <w:vAlign w:val="center"/>
          </w:tcPr>
          <w:p w14:paraId="6CD3DE27" w14:textId="77777777" w:rsidR="0095377F" w:rsidRPr="00C926EC" w:rsidRDefault="0095377F" w:rsidP="007D5E1F">
            <w:pPr>
              <w:rPr>
                <w:rFonts w:ascii="Arial" w:hAnsi="Arial" w:cs="Arial"/>
                <w:b/>
                <w:sz w:val="16"/>
                <w:szCs w:val="16"/>
                <w:lang w:val="en-US"/>
              </w:rPr>
            </w:pPr>
            <w:r w:rsidRPr="00C926EC">
              <w:rPr>
                <w:rFonts w:ascii="Arial" w:hAnsi="Arial" w:cs="Arial"/>
                <w:b/>
                <w:sz w:val="16"/>
                <w:szCs w:val="16"/>
                <w:lang w:val="en-US"/>
              </w:rPr>
              <w:t>Purpose of the scenario</w:t>
            </w:r>
          </w:p>
        </w:tc>
        <w:tc>
          <w:tcPr>
            <w:tcW w:w="0" w:type="auto"/>
            <w:tcBorders>
              <w:bottom w:val="single" w:sz="4" w:space="0" w:color="auto"/>
            </w:tcBorders>
            <w:vAlign w:val="center"/>
          </w:tcPr>
          <w:p w14:paraId="16FE81BF" w14:textId="77777777" w:rsidR="0095377F" w:rsidRPr="00C926EC" w:rsidRDefault="0095377F" w:rsidP="007D5E1F">
            <w:pPr>
              <w:rPr>
                <w:rFonts w:ascii="Arial" w:hAnsi="Arial" w:cs="Arial"/>
                <w:b/>
                <w:sz w:val="16"/>
                <w:szCs w:val="16"/>
                <w:lang w:val="en-US"/>
              </w:rPr>
            </w:pPr>
            <w:r w:rsidRPr="00C926EC">
              <w:rPr>
                <w:rFonts w:ascii="Arial" w:hAnsi="Arial" w:cs="Arial"/>
                <w:b/>
                <w:sz w:val="16"/>
                <w:szCs w:val="16"/>
                <w:lang w:val="en-US"/>
              </w:rPr>
              <w:t>Sensitivity analysis</w:t>
            </w:r>
          </w:p>
        </w:tc>
        <w:tc>
          <w:tcPr>
            <w:tcW w:w="0" w:type="auto"/>
            <w:tcBorders>
              <w:bottom w:val="single" w:sz="4" w:space="0" w:color="auto"/>
            </w:tcBorders>
            <w:vAlign w:val="center"/>
          </w:tcPr>
          <w:p w14:paraId="3CC42E5D" w14:textId="77777777" w:rsidR="0095377F" w:rsidRPr="00C926EC" w:rsidRDefault="0095377F" w:rsidP="007D5E1F">
            <w:pPr>
              <w:rPr>
                <w:rFonts w:ascii="Arial" w:hAnsi="Arial" w:cs="Arial"/>
                <w:b/>
                <w:sz w:val="16"/>
                <w:szCs w:val="16"/>
                <w:lang w:val="en-US"/>
              </w:rPr>
            </w:pPr>
            <w:r w:rsidRPr="00C926EC">
              <w:rPr>
                <w:rFonts w:ascii="Arial" w:hAnsi="Arial" w:cs="Arial"/>
                <w:b/>
                <w:sz w:val="16"/>
                <w:szCs w:val="16"/>
                <w:lang w:val="en-US"/>
              </w:rPr>
              <w:t>Parameter analyzed (value range and units)</w:t>
            </w:r>
          </w:p>
        </w:tc>
      </w:tr>
      <w:tr w:rsidR="00C926EC" w:rsidRPr="00C926EC" w14:paraId="2D626275" w14:textId="77777777" w:rsidTr="007D5E1F">
        <w:trPr>
          <w:jc w:val="center"/>
        </w:trPr>
        <w:tc>
          <w:tcPr>
            <w:tcW w:w="0" w:type="auto"/>
            <w:tcBorders>
              <w:top w:val="single" w:sz="4" w:space="0" w:color="auto"/>
              <w:right w:val="single" w:sz="4" w:space="0" w:color="auto"/>
            </w:tcBorders>
            <w:vAlign w:val="center"/>
          </w:tcPr>
          <w:p w14:paraId="4C970494" w14:textId="77777777" w:rsidR="0095377F" w:rsidRPr="00C926EC" w:rsidRDefault="0095377F" w:rsidP="007D5E1F">
            <w:pPr>
              <w:spacing w:before="100"/>
              <w:jc w:val="center"/>
              <w:rPr>
                <w:rFonts w:ascii="Arial" w:hAnsi="Arial" w:cs="Arial"/>
                <w:b/>
                <w:sz w:val="16"/>
                <w:szCs w:val="16"/>
                <w:lang w:val="en-US"/>
              </w:rPr>
            </w:pPr>
            <w:r w:rsidRPr="00C926EC">
              <w:rPr>
                <w:rFonts w:ascii="Arial" w:hAnsi="Arial" w:cs="Arial"/>
                <w:b/>
                <w:sz w:val="16"/>
                <w:szCs w:val="16"/>
                <w:lang w:val="en-US"/>
              </w:rPr>
              <w:t>1-12</w:t>
            </w:r>
          </w:p>
        </w:tc>
        <w:tc>
          <w:tcPr>
            <w:tcW w:w="0" w:type="auto"/>
            <w:tcBorders>
              <w:top w:val="single" w:sz="4" w:space="0" w:color="auto"/>
              <w:left w:val="single" w:sz="4" w:space="0" w:color="auto"/>
            </w:tcBorders>
            <w:vAlign w:val="center"/>
          </w:tcPr>
          <w:p w14:paraId="58978EDC" w14:textId="77777777" w:rsidR="0095377F" w:rsidRPr="00C926EC" w:rsidRDefault="0095377F" w:rsidP="007D5E1F">
            <w:pPr>
              <w:spacing w:before="100"/>
              <w:rPr>
                <w:rFonts w:ascii="Arial" w:hAnsi="Arial" w:cs="Arial"/>
                <w:sz w:val="16"/>
                <w:szCs w:val="16"/>
                <w:lang w:val="en-US"/>
              </w:rPr>
            </w:pPr>
            <w:r w:rsidRPr="00C926EC">
              <w:rPr>
                <w:rFonts w:ascii="Arial" w:hAnsi="Arial" w:cs="Arial"/>
                <w:sz w:val="16"/>
                <w:szCs w:val="16"/>
                <w:lang w:val="en-US"/>
              </w:rPr>
              <w:t>122-94-182</w:t>
            </w:r>
          </w:p>
        </w:tc>
        <w:tc>
          <w:tcPr>
            <w:tcW w:w="0" w:type="auto"/>
            <w:tcBorders>
              <w:top w:val="single" w:sz="4" w:space="0" w:color="auto"/>
            </w:tcBorders>
            <w:vAlign w:val="center"/>
          </w:tcPr>
          <w:p w14:paraId="495079BE" w14:textId="77777777" w:rsidR="0095377F" w:rsidRPr="00C926EC" w:rsidRDefault="0095377F" w:rsidP="007D5E1F">
            <w:pPr>
              <w:spacing w:before="100"/>
              <w:rPr>
                <w:rFonts w:ascii="Arial" w:hAnsi="Arial" w:cs="Arial"/>
                <w:sz w:val="16"/>
                <w:szCs w:val="16"/>
                <w:lang w:val="en-US"/>
              </w:rPr>
            </w:pPr>
            <w:r w:rsidRPr="00C926EC">
              <w:rPr>
                <w:rFonts w:ascii="Arial" w:hAnsi="Arial" w:cs="Arial"/>
                <w:sz w:val="16"/>
                <w:szCs w:val="16"/>
                <w:lang w:val="en-US"/>
              </w:rPr>
              <w:t>0-0.5-1-2</w:t>
            </w:r>
          </w:p>
        </w:tc>
        <w:tc>
          <w:tcPr>
            <w:tcW w:w="0" w:type="auto"/>
            <w:tcBorders>
              <w:top w:val="single" w:sz="4" w:space="0" w:color="auto"/>
            </w:tcBorders>
            <w:vAlign w:val="center"/>
          </w:tcPr>
          <w:p w14:paraId="2F5B567A" w14:textId="77777777" w:rsidR="0095377F" w:rsidRPr="00C926EC" w:rsidRDefault="0095377F" w:rsidP="007D5E1F">
            <w:pPr>
              <w:spacing w:before="100"/>
              <w:rPr>
                <w:rFonts w:ascii="Arial" w:hAnsi="Arial" w:cs="Arial"/>
                <w:sz w:val="16"/>
                <w:szCs w:val="16"/>
                <w:lang w:val="en-US"/>
              </w:rPr>
            </w:pPr>
            <w:r w:rsidRPr="00C926EC">
              <w:rPr>
                <w:rFonts w:ascii="Arial" w:hAnsi="Arial" w:cs="Arial"/>
                <w:sz w:val="16"/>
                <w:szCs w:val="16"/>
                <w:lang w:val="en-US"/>
              </w:rPr>
              <w:t>Baseline</w:t>
            </w:r>
          </w:p>
        </w:tc>
        <w:tc>
          <w:tcPr>
            <w:tcW w:w="0" w:type="auto"/>
            <w:tcBorders>
              <w:top w:val="single" w:sz="4" w:space="0" w:color="auto"/>
            </w:tcBorders>
            <w:vAlign w:val="center"/>
          </w:tcPr>
          <w:p w14:paraId="5E1141BD" w14:textId="77777777" w:rsidR="0095377F" w:rsidRPr="00C926EC" w:rsidRDefault="0095377F" w:rsidP="007D5E1F">
            <w:pPr>
              <w:spacing w:before="100"/>
              <w:rPr>
                <w:rFonts w:ascii="Arial" w:hAnsi="Arial" w:cs="Arial"/>
                <w:sz w:val="16"/>
                <w:szCs w:val="16"/>
                <w:lang w:val="en-US"/>
              </w:rPr>
            </w:pPr>
            <w:r w:rsidRPr="00C926EC">
              <w:rPr>
                <w:rFonts w:ascii="Arial" w:hAnsi="Arial" w:cs="Arial"/>
                <w:sz w:val="16"/>
                <w:szCs w:val="16"/>
                <w:lang w:val="en-US"/>
              </w:rPr>
              <w:t>No</w:t>
            </w:r>
          </w:p>
        </w:tc>
        <w:tc>
          <w:tcPr>
            <w:tcW w:w="0" w:type="auto"/>
            <w:tcBorders>
              <w:top w:val="single" w:sz="4" w:space="0" w:color="auto"/>
            </w:tcBorders>
            <w:vAlign w:val="center"/>
          </w:tcPr>
          <w:p w14:paraId="5713CB12" w14:textId="77777777" w:rsidR="0095377F" w:rsidRPr="00C926EC" w:rsidRDefault="0095377F" w:rsidP="007D5E1F">
            <w:pPr>
              <w:spacing w:before="100"/>
              <w:rPr>
                <w:rFonts w:ascii="Arial" w:hAnsi="Arial" w:cs="Arial"/>
                <w:sz w:val="16"/>
                <w:szCs w:val="16"/>
                <w:lang w:val="en-US"/>
              </w:rPr>
            </w:pPr>
            <w:r w:rsidRPr="00C926EC">
              <w:rPr>
                <w:rFonts w:ascii="Arial" w:hAnsi="Arial" w:cs="Arial"/>
                <w:sz w:val="16"/>
                <w:szCs w:val="16"/>
                <w:lang w:val="en-US"/>
              </w:rPr>
              <w:t>-</w:t>
            </w:r>
          </w:p>
        </w:tc>
      </w:tr>
      <w:tr w:rsidR="00C926EC" w:rsidRPr="006556A2" w14:paraId="709F57AD" w14:textId="77777777" w:rsidTr="007D5E1F">
        <w:trPr>
          <w:jc w:val="center"/>
        </w:trPr>
        <w:tc>
          <w:tcPr>
            <w:tcW w:w="0" w:type="auto"/>
            <w:tcBorders>
              <w:top w:val="single" w:sz="4" w:space="0" w:color="auto"/>
              <w:right w:val="single" w:sz="4" w:space="0" w:color="auto"/>
            </w:tcBorders>
            <w:vAlign w:val="center"/>
          </w:tcPr>
          <w:p w14:paraId="3267F214" w14:textId="77777777" w:rsidR="0095377F" w:rsidRPr="00C926EC" w:rsidRDefault="0095377F" w:rsidP="007D5E1F">
            <w:pPr>
              <w:spacing w:before="100"/>
              <w:jc w:val="center"/>
              <w:rPr>
                <w:rFonts w:ascii="Arial" w:hAnsi="Arial" w:cs="Arial"/>
                <w:b/>
                <w:sz w:val="16"/>
                <w:szCs w:val="16"/>
                <w:lang w:val="en-US"/>
              </w:rPr>
            </w:pPr>
            <w:r w:rsidRPr="00C926EC">
              <w:rPr>
                <w:rFonts w:ascii="Arial" w:hAnsi="Arial" w:cs="Arial"/>
                <w:b/>
                <w:sz w:val="16"/>
                <w:szCs w:val="16"/>
                <w:lang w:val="en-US"/>
              </w:rPr>
              <w:t>13-24</w:t>
            </w:r>
          </w:p>
        </w:tc>
        <w:tc>
          <w:tcPr>
            <w:tcW w:w="0" w:type="auto"/>
            <w:tcBorders>
              <w:top w:val="single" w:sz="4" w:space="0" w:color="auto"/>
              <w:left w:val="single" w:sz="4" w:space="0" w:color="auto"/>
            </w:tcBorders>
            <w:vAlign w:val="center"/>
          </w:tcPr>
          <w:p w14:paraId="58BEBF5B" w14:textId="77777777" w:rsidR="0095377F" w:rsidRPr="00C926EC" w:rsidRDefault="0095377F" w:rsidP="007D5E1F">
            <w:pPr>
              <w:spacing w:before="100"/>
              <w:rPr>
                <w:rFonts w:ascii="Arial" w:hAnsi="Arial" w:cs="Arial"/>
                <w:sz w:val="16"/>
                <w:szCs w:val="16"/>
                <w:lang w:val="en-US"/>
              </w:rPr>
            </w:pPr>
            <w:r w:rsidRPr="00C926EC">
              <w:rPr>
                <w:rFonts w:ascii="Arial" w:hAnsi="Arial" w:cs="Arial"/>
                <w:sz w:val="16"/>
                <w:szCs w:val="16"/>
                <w:lang w:val="en-US"/>
              </w:rPr>
              <w:t>122-94-182</w:t>
            </w:r>
          </w:p>
        </w:tc>
        <w:tc>
          <w:tcPr>
            <w:tcW w:w="0" w:type="auto"/>
            <w:tcBorders>
              <w:top w:val="single" w:sz="4" w:space="0" w:color="auto"/>
            </w:tcBorders>
            <w:vAlign w:val="center"/>
          </w:tcPr>
          <w:p w14:paraId="28BFFAF3" w14:textId="77777777" w:rsidR="0095377F" w:rsidRPr="00C926EC" w:rsidRDefault="0095377F" w:rsidP="007D5E1F">
            <w:pPr>
              <w:spacing w:before="100"/>
              <w:rPr>
                <w:rFonts w:ascii="Arial" w:hAnsi="Arial" w:cs="Arial"/>
                <w:sz w:val="16"/>
                <w:szCs w:val="16"/>
                <w:lang w:val="en-US"/>
              </w:rPr>
            </w:pPr>
            <w:r w:rsidRPr="00C926EC">
              <w:rPr>
                <w:rFonts w:ascii="Arial" w:hAnsi="Arial" w:cs="Arial"/>
                <w:sz w:val="16"/>
                <w:szCs w:val="16"/>
                <w:lang w:val="en-US"/>
              </w:rPr>
              <w:t>0-0.5-1-2</w:t>
            </w:r>
          </w:p>
        </w:tc>
        <w:tc>
          <w:tcPr>
            <w:tcW w:w="0" w:type="auto"/>
            <w:tcBorders>
              <w:top w:val="single" w:sz="4" w:space="0" w:color="auto"/>
            </w:tcBorders>
            <w:vAlign w:val="center"/>
          </w:tcPr>
          <w:p w14:paraId="680AFD8A" w14:textId="77777777" w:rsidR="0095377F" w:rsidRPr="00C926EC" w:rsidRDefault="0095377F" w:rsidP="007D5E1F">
            <w:pPr>
              <w:spacing w:before="100"/>
              <w:rPr>
                <w:rFonts w:ascii="Arial" w:hAnsi="Arial" w:cs="Arial"/>
                <w:sz w:val="16"/>
                <w:szCs w:val="16"/>
                <w:lang w:val="en-US"/>
              </w:rPr>
            </w:pPr>
            <w:r w:rsidRPr="00C926EC">
              <w:rPr>
                <w:rFonts w:ascii="Arial" w:hAnsi="Arial" w:cs="Arial"/>
                <w:sz w:val="16"/>
                <w:szCs w:val="16"/>
                <w:lang w:val="en-US"/>
              </w:rPr>
              <w:t>Influence of feed-in tariffs subsidies</w:t>
            </w:r>
          </w:p>
        </w:tc>
        <w:tc>
          <w:tcPr>
            <w:tcW w:w="0" w:type="auto"/>
            <w:tcBorders>
              <w:top w:val="single" w:sz="4" w:space="0" w:color="auto"/>
            </w:tcBorders>
            <w:vAlign w:val="center"/>
          </w:tcPr>
          <w:p w14:paraId="08AD78FE" w14:textId="77777777" w:rsidR="0095377F" w:rsidRPr="00C926EC" w:rsidRDefault="0095377F" w:rsidP="007D5E1F">
            <w:pPr>
              <w:spacing w:before="100"/>
              <w:rPr>
                <w:rFonts w:ascii="Arial" w:hAnsi="Arial" w:cs="Arial"/>
                <w:sz w:val="16"/>
                <w:szCs w:val="16"/>
                <w:lang w:val="en-US"/>
              </w:rPr>
            </w:pPr>
            <w:r w:rsidRPr="00C926EC">
              <w:rPr>
                <w:rFonts w:ascii="Arial" w:hAnsi="Arial" w:cs="Arial"/>
                <w:sz w:val="16"/>
                <w:szCs w:val="16"/>
                <w:lang w:val="en-US"/>
              </w:rPr>
              <w:t>No</w:t>
            </w:r>
          </w:p>
        </w:tc>
        <w:tc>
          <w:tcPr>
            <w:tcW w:w="0" w:type="auto"/>
            <w:tcBorders>
              <w:top w:val="single" w:sz="4" w:space="0" w:color="auto"/>
            </w:tcBorders>
            <w:vAlign w:val="center"/>
          </w:tcPr>
          <w:p w14:paraId="0207644C" w14:textId="77777777" w:rsidR="0095377F" w:rsidRPr="00C926EC" w:rsidRDefault="0095377F" w:rsidP="007D5E1F">
            <w:pPr>
              <w:spacing w:before="100"/>
              <w:rPr>
                <w:rFonts w:ascii="Arial" w:hAnsi="Arial" w:cs="Arial"/>
                <w:sz w:val="16"/>
                <w:szCs w:val="16"/>
                <w:lang w:val="en-US"/>
              </w:rPr>
            </w:pPr>
            <w:r w:rsidRPr="00C926EC">
              <w:rPr>
                <w:rFonts w:ascii="Arial" w:hAnsi="Arial" w:cs="Arial"/>
                <w:sz w:val="16"/>
                <w:szCs w:val="16"/>
                <w:lang w:val="en-US"/>
              </w:rPr>
              <w:t>Feed-in tariffs subsidies (10-70 €/MWh)</w:t>
            </w:r>
          </w:p>
        </w:tc>
      </w:tr>
      <w:tr w:rsidR="00C926EC" w:rsidRPr="006556A2" w14:paraId="3BD60968" w14:textId="77777777" w:rsidTr="007D5E1F">
        <w:trPr>
          <w:jc w:val="center"/>
        </w:trPr>
        <w:tc>
          <w:tcPr>
            <w:tcW w:w="0" w:type="auto"/>
            <w:tcBorders>
              <w:top w:val="single" w:sz="4" w:space="0" w:color="auto"/>
              <w:right w:val="single" w:sz="4" w:space="0" w:color="auto"/>
            </w:tcBorders>
            <w:vAlign w:val="center"/>
          </w:tcPr>
          <w:p w14:paraId="2BF37E2A" w14:textId="77777777" w:rsidR="0095377F" w:rsidRPr="00C926EC" w:rsidRDefault="0095377F" w:rsidP="007D5E1F">
            <w:pPr>
              <w:spacing w:before="100"/>
              <w:jc w:val="center"/>
              <w:rPr>
                <w:rFonts w:ascii="Arial" w:hAnsi="Arial" w:cs="Arial"/>
                <w:b/>
                <w:sz w:val="16"/>
                <w:szCs w:val="16"/>
                <w:lang w:val="en-US"/>
              </w:rPr>
            </w:pPr>
            <w:r w:rsidRPr="00C926EC">
              <w:rPr>
                <w:rFonts w:ascii="Arial" w:hAnsi="Arial" w:cs="Arial"/>
                <w:b/>
                <w:sz w:val="16"/>
                <w:szCs w:val="16"/>
                <w:lang w:val="en-US"/>
              </w:rPr>
              <w:t>25-36</w:t>
            </w:r>
          </w:p>
        </w:tc>
        <w:tc>
          <w:tcPr>
            <w:tcW w:w="0" w:type="auto"/>
            <w:tcBorders>
              <w:top w:val="single" w:sz="4" w:space="0" w:color="auto"/>
              <w:left w:val="single" w:sz="4" w:space="0" w:color="auto"/>
            </w:tcBorders>
            <w:vAlign w:val="center"/>
          </w:tcPr>
          <w:p w14:paraId="373BD478" w14:textId="77777777" w:rsidR="0095377F" w:rsidRPr="00C926EC" w:rsidRDefault="0095377F" w:rsidP="007D5E1F">
            <w:pPr>
              <w:spacing w:before="100"/>
              <w:rPr>
                <w:rFonts w:ascii="Arial" w:hAnsi="Arial" w:cs="Arial"/>
                <w:sz w:val="16"/>
                <w:szCs w:val="16"/>
                <w:lang w:val="en-US"/>
              </w:rPr>
            </w:pPr>
            <w:r w:rsidRPr="00C926EC">
              <w:rPr>
                <w:rFonts w:ascii="Arial" w:hAnsi="Arial" w:cs="Arial"/>
                <w:sz w:val="16"/>
                <w:szCs w:val="16"/>
                <w:lang w:val="en-US"/>
              </w:rPr>
              <w:t>122-94-182</w:t>
            </w:r>
          </w:p>
        </w:tc>
        <w:tc>
          <w:tcPr>
            <w:tcW w:w="0" w:type="auto"/>
            <w:tcBorders>
              <w:top w:val="single" w:sz="4" w:space="0" w:color="auto"/>
            </w:tcBorders>
            <w:vAlign w:val="center"/>
          </w:tcPr>
          <w:p w14:paraId="0D52D6D0" w14:textId="77777777" w:rsidR="0095377F" w:rsidRPr="00C926EC" w:rsidRDefault="0095377F" w:rsidP="007D5E1F">
            <w:pPr>
              <w:spacing w:before="100"/>
              <w:rPr>
                <w:rFonts w:ascii="Arial" w:hAnsi="Arial" w:cs="Arial"/>
                <w:sz w:val="16"/>
                <w:szCs w:val="16"/>
                <w:lang w:val="en-US"/>
              </w:rPr>
            </w:pPr>
            <w:r w:rsidRPr="00C926EC">
              <w:rPr>
                <w:rFonts w:ascii="Arial" w:hAnsi="Arial" w:cs="Arial"/>
                <w:sz w:val="16"/>
                <w:szCs w:val="16"/>
                <w:lang w:val="en-US"/>
              </w:rPr>
              <w:t>0-0.5-1-2</w:t>
            </w:r>
          </w:p>
        </w:tc>
        <w:tc>
          <w:tcPr>
            <w:tcW w:w="0" w:type="auto"/>
            <w:tcBorders>
              <w:top w:val="single" w:sz="4" w:space="0" w:color="auto"/>
            </w:tcBorders>
            <w:vAlign w:val="center"/>
          </w:tcPr>
          <w:p w14:paraId="3E07AD86" w14:textId="1E069730" w:rsidR="0095377F" w:rsidRPr="00C926EC" w:rsidRDefault="0095377F" w:rsidP="007D5E1F">
            <w:pPr>
              <w:spacing w:before="100"/>
              <w:rPr>
                <w:rFonts w:ascii="Arial" w:hAnsi="Arial" w:cs="Arial"/>
                <w:sz w:val="16"/>
                <w:szCs w:val="16"/>
                <w:lang w:val="en-US"/>
              </w:rPr>
            </w:pPr>
            <w:r w:rsidRPr="00C926EC">
              <w:rPr>
                <w:rFonts w:ascii="Arial" w:hAnsi="Arial" w:cs="Arial"/>
                <w:sz w:val="16"/>
                <w:szCs w:val="16"/>
                <w:lang w:val="en-US"/>
              </w:rPr>
              <w:t>Analysis of CO</w:t>
            </w:r>
            <w:r w:rsidRPr="00C926EC">
              <w:rPr>
                <w:rFonts w:ascii="Arial" w:hAnsi="Arial" w:cs="Arial"/>
                <w:sz w:val="16"/>
                <w:szCs w:val="16"/>
                <w:vertAlign w:val="subscript"/>
                <w:lang w:val="en-US"/>
              </w:rPr>
              <w:t>2</w:t>
            </w:r>
            <w:r w:rsidRPr="00C926EC">
              <w:rPr>
                <w:rFonts w:ascii="Arial" w:hAnsi="Arial" w:cs="Arial"/>
                <w:sz w:val="16"/>
                <w:szCs w:val="16"/>
                <w:lang w:val="en-US"/>
              </w:rPr>
              <w:t xml:space="preserve"> </w:t>
            </w:r>
            <w:r w:rsidR="00B968A4" w:rsidRPr="00C926EC">
              <w:rPr>
                <w:rFonts w:ascii="Arial" w:hAnsi="Arial" w:cs="Arial"/>
                <w:sz w:val="16"/>
                <w:szCs w:val="16"/>
                <w:lang w:val="en-US"/>
              </w:rPr>
              <w:t>tax</w:t>
            </w:r>
          </w:p>
        </w:tc>
        <w:tc>
          <w:tcPr>
            <w:tcW w:w="0" w:type="auto"/>
            <w:tcBorders>
              <w:top w:val="single" w:sz="4" w:space="0" w:color="auto"/>
            </w:tcBorders>
            <w:vAlign w:val="center"/>
          </w:tcPr>
          <w:p w14:paraId="4798BDDA" w14:textId="77777777" w:rsidR="0095377F" w:rsidRPr="00C926EC" w:rsidRDefault="0095377F" w:rsidP="007D5E1F">
            <w:pPr>
              <w:spacing w:before="100"/>
              <w:rPr>
                <w:rFonts w:ascii="Arial" w:hAnsi="Arial" w:cs="Arial"/>
                <w:sz w:val="16"/>
                <w:szCs w:val="16"/>
                <w:lang w:val="en-US"/>
              </w:rPr>
            </w:pPr>
            <w:r w:rsidRPr="00C926EC">
              <w:rPr>
                <w:rFonts w:ascii="Arial" w:hAnsi="Arial" w:cs="Arial"/>
                <w:sz w:val="16"/>
                <w:szCs w:val="16"/>
                <w:lang w:val="en-US"/>
              </w:rPr>
              <w:t>No</w:t>
            </w:r>
          </w:p>
        </w:tc>
        <w:tc>
          <w:tcPr>
            <w:tcW w:w="0" w:type="auto"/>
            <w:tcBorders>
              <w:top w:val="single" w:sz="4" w:space="0" w:color="auto"/>
            </w:tcBorders>
            <w:vAlign w:val="center"/>
          </w:tcPr>
          <w:p w14:paraId="49B83BAC" w14:textId="77777777" w:rsidR="0095377F" w:rsidRPr="00C926EC" w:rsidRDefault="0095377F" w:rsidP="007D5E1F">
            <w:pPr>
              <w:spacing w:before="100"/>
              <w:rPr>
                <w:rFonts w:ascii="Arial" w:hAnsi="Arial" w:cs="Arial"/>
                <w:sz w:val="16"/>
                <w:szCs w:val="16"/>
                <w:lang w:val="en-US"/>
              </w:rPr>
            </w:pPr>
            <w:r w:rsidRPr="00C926EC">
              <w:rPr>
                <w:rFonts w:ascii="Arial" w:hAnsi="Arial" w:cs="Arial"/>
                <w:sz w:val="16"/>
                <w:szCs w:val="16"/>
                <w:lang w:val="en-US"/>
              </w:rPr>
              <w:t>CO</w:t>
            </w:r>
            <w:r w:rsidRPr="00C926EC">
              <w:rPr>
                <w:rFonts w:ascii="Arial" w:hAnsi="Arial" w:cs="Arial"/>
                <w:sz w:val="16"/>
                <w:szCs w:val="16"/>
                <w:vertAlign w:val="subscript"/>
                <w:lang w:val="en-US"/>
              </w:rPr>
              <w:t>2</w:t>
            </w:r>
            <w:r w:rsidRPr="00C926EC">
              <w:rPr>
                <w:rFonts w:ascii="Arial" w:hAnsi="Arial" w:cs="Arial"/>
                <w:sz w:val="16"/>
                <w:szCs w:val="16"/>
                <w:lang w:val="en-US"/>
              </w:rPr>
              <w:t xml:space="preserve"> prices to reach profitability (0-400 €/t)</w:t>
            </w:r>
          </w:p>
        </w:tc>
      </w:tr>
      <w:tr w:rsidR="00C926EC" w:rsidRPr="006556A2" w14:paraId="1BE3AF4B" w14:textId="77777777" w:rsidTr="007D5E1F">
        <w:trPr>
          <w:jc w:val="center"/>
        </w:trPr>
        <w:tc>
          <w:tcPr>
            <w:tcW w:w="0" w:type="auto"/>
            <w:tcBorders>
              <w:top w:val="single" w:sz="4" w:space="0" w:color="auto"/>
              <w:bottom w:val="single" w:sz="4" w:space="0" w:color="auto"/>
              <w:right w:val="single" w:sz="4" w:space="0" w:color="auto"/>
            </w:tcBorders>
            <w:vAlign w:val="center"/>
          </w:tcPr>
          <w:p w14:paraId="1D339F0B" w14:textId="77777777" w:rsidR="0095377F" w:rsidRPr="00C926EC" w:rsidRDefault="0095377F" w:rsidP="007D5E1F">
            <w:pPr>
              <w:spacing w:before="100"/>
              <w:jc w:val="center"/>
              <w:rPr>
                <w:rFonts w:ascii="Arial" w:hAnsi="Arial" w:cs="Arial"/>
                <w:b/>
                <w:sz w:val="16"/>
                <w:szCs w:val="16"/>
                <w:lang w:val="en-US"/>
              </w:rPr>
            </w:pPr>
            <w:r w:rsidRPr="00C926EC">
              <w:rPr>
                <w:rFonts w:ascii="Arial" w:hAnsi="Arial" w:cs="Arial"/>
                <w:b/>
                <w:sz w:val="16"/>
                <w:szCs w:val="16"/>
                <w:lang w:val="en-US"/>
              </w:rPr>
              <w:t>37-48</w:t>
            </w:r>
          </w:p>
        </w:tc>
        <w:tc>
          <w:tcPr>
            <w:tcW w:w="0" w:type="auto"/>
            <w:tcBorders>
              <w:top w:val="single" w:sz="4" w:space="0" w:color="auto"/>
              <w:left w:val="single" w:sz="4" w:space="0" w:color="auto"/>
              <w:bottom w:val="single" w:sz="4" w:space="0" w:color="auto"/>
            </w:tcBorders>
            <w:vAlign w:val="center"/>
          </w:tcPr>
          <w:p w14:paraId="60692EAE" w14:textId="77777777" w:rsidR="0095377F" w:rsidRPr="00C926EC" w:rsidRDefault="0095377F" w:rsidP="007D5E1F">
            <w:pPr>
              <w:spacing w:before="100"/>
              <w:rPr>
                <w:rFonts w:ascii="Arial" w:hAnsi="Arial" w:cs="Arial"/>
                <w:sz w:val="16"/>
                <w:szCs w:val="16"/>
                <w:lang w:val="en-US"/>
              </w:rPr>
            </w:pPr>
            <w:r w:rsidRPr="00C926EC">
              <w:rPr>
                <w:rFonts w:ascii="Arial" w:hAnsi="Arial" w:cs="Arial"/>
                <w:sz w:val="16"/>
                <w:szCs w:val="16"/>
                <w:lang w:val="en-US"/>
              </w:rPr>
              <w:t>122-94-182</w:t>
            </w:r>
          </w:p>
        </w:tc>
        <w:tc>
          <w:tcPr>
            <w:tcW w:w="0" w:type="auto"/>
            <w:tcBorders>
              <w:top w:val="single" w:sz="4" w:space="0" w:color="auto"/>
              <w:bottom w:val="single" w:sz="4" w:space="0" w:color="auto"/>
            </w:tcBorders>
            <w:vAlign w:val="center"/>
          </w:tcPr>
          <w:p w14:paraId="3E30A034" w14:textId="77777777" w:rsidR="0095377F" w:rsidRPr="00C926EC" w:rsidRDefault="0095377F" w:rsidP="007D5E1F">
            <w:pPr>
              <w:spacing w:before="100"/>
              <w:rPr>
                <w:rFonts w:ascii="Arial" w:hAnsi="Arial" w:cs="Arial"/>
                <w:sz w:val="16"/>
                <w:szCs w:val="16"/>
                <w:lang w:val="en-US"/>
              </w:rPr>
            </w:pPr>
            <w:r w:rsidRPr="00C926EC">
              <w:rPr>
                <w:rFonts w:ascii="Arial" w:hAnsi="Arial" w:cs="Arial"/>
                <w:sz w:val="16"/>
                <w:szCs w:val="16"/>
                <w:lang w:val="en-US"/>
              </w:rPr>
              <w:t>0-0.5-1-2</w:t>
            </w:r>
          </w:p>
        </w:tc>
        <w:tc>
          <w:tcPr>
            <w:tcW w:w="0" w:type="auto"/>
            <w:tcBorders>
              <w:top w:val="single" w:sz="4" w:space="0" w:color="auto"/>
              <w:bottom w:val="single" w:sz="4" w:space="0" w:color="auto"/>
            </w:tcBorders>
            <w:vAlign w:val="center"/>
          </w:tcPr>
          <w:p w14:paraId="6A7EC04E" w14:textId="77777777" w:rsidR="0095377F" w:rsidRPr="00C926EC" w:rsidRDefault="0095377F" w:rsidP="007D5E1F">
            <w:pPr>
              <w:spacing w:before="100"/>
              <w:rPr>
                <w:rFonts w:ascii="Arial" w:hAnsi="Arial" w:cs="Arial"/>
                <w:sz w:val="16"/>
                <w:szCs w:val="16"/>
                <w:lang w:val="en-US"/>
              </w:rPr>
            </w:pPr>
            <w:r w:rsidRPr="00C926EC">
              <w:rPr>
                <w:rFonts w:ascii="Arial" w:hAnsi="Arial" w:cs="Arial"/>
                <w:sz w:val="16"/>
                <w:szCs w:val="16"/>
                <w:lang w:val="en-US"/>
              </w:rPr>
              <w:t>Influence of investment subsidies</w:t>
            </w:r>
          </w:p>
        </w:tc>
        <w:tc>
          <w:tcPr>
            <w:tcW w:w="0" w:type="auto"/>
            <w:tcBorders>
              <w:top w:val="single" w:sz="4" w:space="0" w:color="auto"/>
              <w:bottom w:val="single" w:sz="4" w:space="0" w:color="auto"/>
            </w:tcBorders>
            <w:vAlign w:val="center"/>
          </w:tcPr>
          <w:p w14:paraId="1BA4733D" w14:textId="77777777" w:rsidR="0095377F" w:rsidRPr="00C926EC" w:rsidRDefault="0095377F" w:rsidP="007D5E1F">
            <w:pPr>
              <w:spacing w:before="100"/>
              <w:rPr>
                <w:rFonts w:ascii="Arial" w:hAnsi="Arial" w:cs="Arial"/>
                <w:sz w:val="16"/>
                <w:szCs w:val="16"/>
                <w:lang w:val="en-US"/>
              </w:rPr>
            </w:pPr>
            <w:r w:rsidRPr="00C926EC">
              <w:rPr>
                <w:rFonts w:ascii="Arial" w:hAnsi="Arial" w:cs="Arial"/>
                <w:sz w:val="16"/>
                <w:szCs w:val="16"/>
                <w:lang w:val="en-US"/>
              </w:rPr>
              <w:t>No</w:t>
            </w:r>
          </w:p>
        </w:tc>
        <w:tc>
          <w:tcPr>
            <w:tcW w:w="0" w:type="auto"/>
            <w:tcBorders>
              <w:top w:val="single" w:sz="4" w:space="0" w:color="auto"/>
              <w:bottom w:val="single" w:sz="4" w:space="0" w:color="auto"/>
            </w:tcBorders>
            <w:vAlign w:val="center"/>
          </w:tcPr>
          <w:p w14:paraId="0EE5AB27" w14:textId="77777777" w:rsidR="0095377F" w:rsidRPr="00C926EC" w:rsidRDefault="0095377F" w:rsidP="007D5E1F">
            <w:pPr>
              <w:spacing w:before="100"/>
              <w:rPr>
                <w:rFonts w:ascii="Arial" w:hAnsi="Arial" w:cs="Arial"/>
                <w:sz w:val="16"/>
                <w:szCs w:val="16"/>
                <w:lang w:val="en-US"/>
              </w:rPr>
            </w:pPr>
            <w:r w:rsidRPr="00C926EC">
              <w:rPr>
                <w:rFonts w:ascii="Arial" w:hAnsi="Arial" w:cs="Arial"/>
                <w:sz w:val="16"/>
                <w:szCs w:val="16"/>
                <w:lang w:val="en-US"/>
              </w:rPr>
              <w:t>Subsidies as percentage of investment (10-100 %)</w:t>
            </w:r>
          </w:p>
        </w:tc>
      </w:tr>
      <w:tr w:rsidR="00C926EC" w:rsidRPr="00C926EC" w14:paraId="40D86310" w14:textId="77777777" w:rsidTr="007D5E1F">
        <w:trPr>
          <w:jc w:val="center"/>
        </w:trPr>
        <w:tc>
          <w:tcPr>
            <w:tcW w:w="0" w:type="auto"/>
            <w:tcBorders>
              <w:top w:val="single" w:sz="4" w:space="0" w:color="auto"/>
              <w:right w:val="single" w:sz="4" w:space="0" w:color="auto"/>
            </w:tcBorders>
            <w:vAlign w:val="center"/>
          </w:tcPr>
          <w:p w14:paraId="08C88599" w14:textId="77777777" w:rsidR="0095377F" w:rsidRPr="00C926EC" w:rsidRDefault="0095377F" w:rsidP="007D5E1F">
            <w:pPr>
              <w:jc w:val="center"/>
              <w:rPr>
                <w:rFonts w:ascii="Arial" w:hAnsi="Arial" w:cs="Arial"/>
                <w:b/>
                <w:sz w:val="16"/>
                <w:szCs w:val="16"/>
                <w:lang w:val="en-US"/>
              </w:rPr>
            </w:pPr>
            <w:r w:rsidRPr="00C926EC">
              <w:rPr>
                <w:rFonts w:ascii="Arial" w:hAnsi="Arial" w:cs="Arial"/>
                <w:b/>
                <w:sz w:val="16"/>
                <w:szCs w:val="16"/>
                <w:lang w:val="en-US"/>
              </w:rPr>
              <w:t>49</w:t>
            </w:r>
          </w:p>
        </w:tc>
        <w:tc>
          <w:tcPr>
            <w:tcW w:w="0" w:type="auto"/>
            <w:tcBorders>
              <w:top w:val="single" w:sz="4" w:space="0" w:color="auto"/>
              <w:left w:val="single" w:sz="4" w:space="0" w:color="auto"/>
            </w:tcBorders>
            <w:vAlign w:val="center"/>
          </w:tcPr>
          <w:p w14:paraId="0FB9FEA6"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122</w:t>
            </w:r>
          </w:p>
        </w:tc>
        <w:tc>
          <w:tcPr>
            <w:tcW w:w="0" w:type="auto"/>
            <w:tcBorders>
              <w:top w:val="single" w:sz="4" w:space="0" w:color="auto"/>
            </w:tcBorders>
            <w:vAlign w:val="center"/>
          </w:tcPr>
          <w:p w14:paraId="6D6AE564"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0</w:t>
            </w:r>
          </w:p>
        </w:tc>
        <w:tc>
          <w:tcPr>
            <w:tcW w:w="0" w:type="auto"/>
            <w:tcBorders>
              <w:top w:val="single" w:sz="4" w:space="0" w:color="auto"/>
            </w:tcBorders>
            <w:vAlign w:val="center"/>
          </w:tcPr>
          <w:p w14:paraId="38EF2B49"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 xml:space="preserve">Influence of </w:t>
            </w:r>
            <w:proofErr w:type="spellStart"/>
            <w:r w:rsidRPr="00C926EC">
              <w:rPr>
                <w:rFonts w:ascii="Arial" w:hAnsi="Arial" w:cs="Arial"/>
                <w:sz w:val="16"/>
                <w:szCs w:val="16"/>
                <w:lang w:val="en-US"/>
              </w:rPr>
              <w:t>labour</w:t>
            </w:r>
            <w:proofErr w:type="spellEnd"/>
            <w:r w:rsidRPr="00C926EC">
              <w:rPr>
                <w:rFonts w:ascii="Arial" w:hAnsi="Arial" w:cs="Arial"/>
                <w:sz w:val="16"/>
                <w:szCs w:val="16"/>
                <w:lang w:val="en-US"/>
              </w:rPr>
              <w:t xml:space="preserve"> cost</w:t>
            </w:r>
          </w:p>
        </w:tc>
        <w:tc>
          <w:tcPr>
            <w:tcW w:w="0" w:type="auto"/>
            <w:tcBorders>
              <w:top w:val="single" w:sz="4" w:space="0" w:color="auto"/>
            </w:tcBorders>
            <w:vAlign w:val="center"/>
          </w:tcPr>
          <w:p w14:paraId="4A5C5008"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Yes</w:t>
            </w:r>
          </w:p>
        </w:tc>
        <w:tc>
          <w:tcPr>
            <w:tcW w:w="0" w:type="auto"/>
            <w:tcBorders>
              <w:top w:val="single" w:sz="4" w:space="0" w:color="auto"/>
            </w:tcBorders>
            <w:vAlign w:val="center"/>
          </w:tcPr>
          <w:p w14:paraId="52772BCE"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Number of workers (</w:t>
            </w:r>
            <w:r w:rsidRPr="00C926EC">
              <w:rPr>
                <w:rFonts w:ascii="Arial" w:hAnsi="Arial" w:cs="Arial"/>
                <w:sz w:val="16"/>
                <w:szCs w:val="16"/>
              </w:rPr>
              <w:t>±1</w:t>
            </w:r>
            <w:r w:rsidRPr="00C926EC">
              <w:rPr>
                <w:rFonts w:ascii="Arial" w:hAnsi="Arial" w:cs="Arial"/>
                <w:sz w:val="16"/>
                <w:szCs w:val="16"/>
                <w:lang w:val="en-US"/>
              </w:rPr>
              <w:t>)</w:t>
            </w:r>
          </w:p>
        </w:tc>
      </w:tr>
      <w:tr w:rsidR="00C926EC" w:rsidRPr="00C926EC" w14:paraId="79D2D7CC" w14:textId="77777777" w:rsidTr="007D5E1F">
        <w:trPr>
          <w:jc w:val="center"/>
        </w:trPr>
        <w:tc>
          <w:tcPr>
            <w:tcW w:w="0" w:type="auto"/>
            <w:tcBorders>
              <w:right w:val="single" w:sz="4" w:space="0" w:color="auto"/>
            </w:tcBorders>
            <w:vAlign w:val="center"/>
          </w:tcPr>
          <w:p w14:paraId="485D45DD" w14:textId="77777777" w:rsidR="0095377F" w:rsidRPr="00C926EC" w:rsidRDefault="0095377F" w:rsidP="007D5E1F">
            <w:pPr>
              <w:jc w:val="center"/>
              <w:rPr>
                <w:rFonts w:ascii="Arial" w:hAnsi="Arial" w:cs="Arial"/>
                <w:b/>
                <w:sz w:val="16"/>
                <w:szCs w:val="16"/>
                <w:lang w:val="en-US"/>
              </w:rPr>
            </w:pPr>
            <w:r w:rsidRPr="00C926EC">
              <w:rPr>
                <w:rFonts w:ascii="Arial" w:hAnsi="Arial" w:cs="Arial"/>
                <w:b/>
                <w:sz w:val="16"/>
                <w:szCs w:val="16"/>
                <w:lang w:val="en-US"/>
              </w:rPr>
              <w:t>50</w:t>
            </w:r>
          </w:p>
        </w:tc>
        <w:tc>
          <w:tcPr>
            <w:tcW w:w="0" w:type="auto"/>
            <w:tcBorders>
              <w:left w:val="single" w:sz="4" w:space="0" w:color="auto"/>
            </w:tcBorders>
            <w:vAlign w:val="center"/>
          </w:tcPr>
          <w:p w14:paraId="3D4DFC16"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122</w:t>
            </w:r>
          </w:p>
        </w:tc>
        <w:tc>
          <w:tcPr>
            <w:tcW w:w="0" w:type="auto"/>
            <w:vAlign w:val="center"/>
          </w:tcPr>
          <w:p w14:paraId="73CCB8CC"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0</w:t>
            </w:r>
          </w:p>
        </w:tc>
        <w:tc>
          <w:tcPr>
            <w:tcW w:w="0" w:type="auto"/>
            <w:vAlign w:val="center"/>
          </w:tcPr>
          <w:p w14:paraId="0FDA5E07"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 xml:space="preserve">Influence of </w:t>
            </w:r>
            <w:proofErr w:type="spellStart"/>
            <w:r w:rsidRPr="00C926EC">
              <w:rPr>
                <w:rFonts w:ascii="Arial" w:hAnsi="Arial" w:cs="Arial"/>
                <w:sz w:val="16"/>
                <w:szCs w:val="16"/>
                <w:lang w:val="en-US"/>
              </w:rPr>
              <w:t>r</w:t>
            </w:r>
            <w:r w:rsidRPr="00C926EC">
              <w:rPr>
                <w:rFonts w:ascii="Arial" w:hAnsi="Arial" w:cs="Arial"/>
                <w:sz w:val="16"/>
                <w:szCs w:val="16"/>
                <w:vertAlign w:val="subscript"/>
                <w:lang w:val="en-US"/>
              </w:rPr>
              <w:t>d</w:t>
            </w:r>
            <w:proofErr w:type="spellEnd"/>
          </w:p>
        </w:tc>
        <w:tc>
          <w:tcPr>
            <w:tcW w:w="0" w:type="auto"/>
            <w:vAlign w:val="center"/>
          </w:tcPr>
          <w:p w14:paraId="4755E605"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Yes</w:t>
            </w:r>
          </w:p>
        </w:tc>
        <w:tc>
          <w:tcPr>
            <w:tcW w:w="0" w:type="auto"/>
            <w:vAlign w:val="center"/>
          </w:tcPr>
          <w:p w14:paraId="45661F7D" w14:textId="77777777" w:rsidR="0095377F" w:rsidRPr="00C926EC" w:rsidRDefault="0095377F" w:rsidP="007D5E1F">
            <w:pPr>
              <w:rPr>
                <w:rFonts w:ascii="Arial" w:hAnsi="Arial" w:cs="Arial"/>
                <w:sz w:val="16"/>
                <w:szCs w:val="16"/>
                <w:lang w:val="en-US"/>
              </w:rPr>
            </w:pPr>
            <w:proofErr w:type="spellStart"/>
            <w:r w:rsidRPr="00C926EC">
              <w:rPr>
                <w:rFonts w:ascii="Arial" w:hAnsi="Arial" w:cs="Arial"/>
                <w:sz w:val="16"/>
                <w:szCs w:val="16"/>
                <w:lang w:val="en-US"/>
              </w:rPr>
              <w:t>r</w:t>
            </w:r>
            <w:r w:rsidRPr="00C926EC">
              <w:rPr>
                <w:rFonts w:ascii="Arial" w:hAnsi="Arial" w:cs="Arial"/>
                <w:sz w:val="16"/>
                <w:szCs w:val="16"/>
                <w:vertAlign w:val="subscript"/>
                <w:lang w:val="en-US"/>
              </w:rPr>
              <w:t>d</w:t>
            </w:r>
            <w:proofErr w:type="spellEnd"/>
            <w:r w:rsidRPr="00C926EC">
              <w:rPr>
                <w:rFonts w:ascii="Arial" w:hAnsi="Arial" w:cs="Arial"/>
                <w:sz w:val="16"/>
                <w:szCs w:val="16"/>
                <w:lang w:val="en-US"/>
              </w:rPr>
              <w:t xml:space="preserve"> (</w:t>
            </w:r>
            <w:r w:rsidRPr="00C926EC">
              <w:rPr>
                <w:rFonts w:ascii="Arial" w:hAnsi="Arial" w:cs="Arial"/>
                <w:sz w:val="16"/>
                <w:szCs w:val="16"/>
              </w:rPr>
              <w:t>±1%</w:t>
            </w:r>
            <w:r w:rsidRPr="00C926EC">
              <w:rPr>
                <w:rFonts w:ascii="Arial" w:hAnsi="Arial" w:cs="Arial"/>
                <w:sz w:val="16"/>
                <w:szCs w:val="16"/>
                <w:lang w:val="en-US"/>
              </w:rPr>
              <w:t>)</w:t>
            </w:r>
          </w:p>
        </w:tc>
      </w:tr>
      <w:tr w:rsidR="00C926EC" w:rsidRPr="00C926EC" w14:paraId="06999D1F" w14:textId="77777777" w:rsidTr="007D5E1F">
        <w:trPr>
          <w:jc w:val="center"/>
        </w:trPr>
        <w:tc>
          <w:tcPr>
            <w:tcW w:w="0" w:type="auto"/>
            <w:tcBorders>
              <w:right w:val="single" w:sz="4" w:space="0" w:color="auto"/>
            </w:tcBorders>
            <w:vAlign w:val="center"/>
          </w:tcPr>
          <w:p w14:paraId="28ADA1B3" w14:textId="77777777" w:rsidR="0095377F" w:rsidRPr="00C926EC" w:rsidRDefault="0095377F" w:rsidP="007D5E1F">
            <w:pPr>
              <w:jc w:val="center"/>
              <w:rPr>
                <w:rFonts w:ascii="Arial" w:hAnsi="Arial" w:cs="Arial"/>
                <w:b/>
                <w:sz w:val="16"/>
                <w:szCs w:val="16"/>
                <w:lang w:val="en-US"/>
              </w:rPr>
            </w:pPr>
            <w:r w:rsidRPr="00C926EC">
              <w:rPr>
                <w:rFonts w:ascii="Arial" w:hAnsi="Arial" w:cs="Arial"/>
                <w:b/>
                <w:sz w:val="16"/>
                <w:szCs w:val="16"/>
                <w:lang w:val="en-US"/>
              </w:rPr>
              <w:t>51</w:t>
            </w:r>
          </w:p>
        </w:tc>
        <w:tc>
          <w:tcPr>
            <w:tcW w:w="0" w:type="auto"/>
            <w:tcBorders>
              <w:left w:val="single" w:sz="4" w:space="0" w:color="auto"/>
            </w:tcBorders>
            <w:vAlign w:val="center"/>
          </w:tcPr>
          <w:p w14:paraId="28211BC8"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122</w:t>
            </w:r>
          </w:p>
        </w:tc>
        <w:tc>
          <w:tcPr>
            <w:tcW w:w="0" w:type="auto"/>
            <w:vAlign w:val="center"/>
          </w:tcPr>
          <w:p w14:paraId="193393A3"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0</w:t>
            </w:r>
          </w:p>
        </w:tc>
        <w:tc>
          <w:tcPr>
            <w:tcW w:w="0" w:type="auto"/>
            <w:vAlign w:val="center"/>
          </w:tcPr>
          <w:p w14:paraId="6AB38EBB"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 xml:space="preserve">Influence of </w:t>
            </w:r>
            <w:proofErr w:type="spellStart"/>
            <w:r w:rsidRPr="00C926EC">
              <w:rPr>
                <w:rFonts w:ascii="Arial" w:hAnsi="Arial" w:cs="Arial"/>
                <w:sz w:val="16"/>
                <w:szCs w:val="16"/>
                <w:lang w:val="en-US"/>
              </w:rPr>
              <w:t>r</w:t>
            </w:r>
            <w:r w:rsidRPr="00C926EC">
              <w:rPr>
                <w:rFonts w:ascii="Arial" w:hAnsi="Arial" w:cs="Arial"/>
                <w:sz w:val="16"/>
                <w:szCs w:val="16"/>
                <w:vertAlign w:val="subscript"/>
                <w:lang w:val="en-US"/>
              </w:rPr>
              <w:t>int</w:t>
            </w:r>
            <w:proofErr w:type="spellEnd"/>
          </w:p>
        </w:tc>
        <w:tc>
          <w:tcPr>
            <w:tcW w:w="0" w:type="auto"/>
            <w:vAlign w:val="center"/>
          </w:tcPr>
          <w:p w14:paraId="057796D2"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Yes</w:t>
            </w:r>
          </w:p>
        </w:tc>
        <w:tc>
          <w:tcPr>
            <w:tcW w:w="0" w:type="auto"/>
            <w:vAlign w:val="center"/>
          </w:tcPr>
          <w:p w14:paraId="57E1A591" w14:textId="77777777" w:rsidR="0095377F" w:rsidRPr="00C926EC" w:rsidRDefault="0095377F" w:rsidP="007D5E1F">
            <w:pPr>
              <w:rPr>
                <w:rFonts w:ascii="Arial" w:hAnsi="Arial" w:cs="Arial"/>
                <w:sz w:val="16"/>
                <w:szCs w:val="16"/>
                <w:lang w:val="en-US"/>
              </w:rPr>
            </w:pPr>
            <w:proofErr w:type="spellStart"/>
            <w:r w:rsidRPr="00C926EC">
              <w:rPr>
                <w:rFonts w:ascii="Arial" w:hAnsi="Arial" w:cs="Arial"/>
                <w:sz w:val="16"/>
                <w:szCs w:val="16"/>
                <w:lang w:val="en-US"/>
              </w:rPr>
              <w:t>r</w:t>
            </w:r>
            <w:r w:rsidRPr="00C926EC">
              <w:rPr>
                <w:rFonts w:ascii="Arial" w:hAnsi="Arial" w:cs="Arial"/>
                <w:sz w:val="16"/>
                <w:szCs w:val="16"/>
                <w:vertAlign w:val="subscript"/>
                <w:lang w:val="en-US"/>
              </w:rPr>
              <w:t>iint</w:t>
            </w:r>
            <w:proofErr w:type="spellEnd"/>
            <w:r w:rsidRPr="00C926EC">
              <w:rPr>
                <w:rFonts w:ascii="Arial" w:hAnsi="Arial" w:cs="Arial"/>
                <w:sz w:val="16"/>
                <w:szCs w:val="16"/>
                <w:lang w:val="en-US"/>
              </w:rPr>
              <w:t xml:space="preserve"> (</w:t>
            </w:r>
            <w:r w:rsidRPr="00C926EC">
              <w:rPr>
                <w:rFonts w:ascii="Arial" w:hAnsi="Arial" w:cs="Arial"/>
                <w:sz w:val="16"/>
                <w:szCs w:val="16"/>
              </w:rPr>
              <w:t>±3%</w:t>
            </w:r>
            <w:r w:rsidRPr="00C926EC">
              <w:rPr>
                <w:rFonts w:ascii="Arial" w:hAnsi="Arial" w:cs="Arial"/>
                <w:sz w:val="16"/>
                <w:szCs w:val="16"/>
                <w:lang w:val="en-US"/>
              </w:rPr>
              <w:t>)</w:t>
            </w:r>
          </w:p>
        </w:tc>
      </w:tr>
      <w:tr w:rsidR="00C926EC" w:rsidRPr="00C926EC" w14:paraId="0705A404" w14:textId="77777777" w:rsidTr="007D5E1F">
        <w:trPr>
          <w:jc w:val="center"/>
        </w:trPr>
        <w:tc>
          <w:tcPr>
            <w:tcW w:w="0" w:type="auto"/>
            <w:tcBorders>
              <w:right w:val="single" w:sz="4" w:space="0" w:color="auto"/>
            </w:tcBorders>
            <w:vAlign w:val="center"/>
          </w:tcPr>
          <w:p w14:paraId="4E2D61E3" w14:textId="77777777" w:rsidR="0095377F" w:rsidRPr="00C926EC" w:rsidRDefault="0095377F" w:rsidP="007D5E1F">
            <w:pPr>
              <w:jc w:val="center"/>
              <w:rPr>
                <w:rFonts w:ascii="Arial" w:hAnsi="Arial" w:cs="Arial"/>
                <w:b/>
                <w:sz w:val="16"/>
                <w:szCs w:val="16"/>
                <w:lang w:val="en-US"/>
              </w:rPr>
            </w:pPr>
            <w:r w:rsidRPr="00C926EC">
              <w:rPr>
                <w:rFonts w:ascii="Arial" w:hAnsi="Arial" w:cs="Arial"/>
                <w:b/>
                <w:sz w:val="16"/>
                <w:szCs w:val="16"/>
                <w:lang w:val="en-US"/>
              </w:rPr>
              <w:t>52</w:t>
            </w:r>
          </w:p>
        </w:tc>
        <w:tc>
          <w:tcPr>
            <w:tcW w:w="0" w:type="auto"/>
            <w:tcBorders>
              <w:left w:val="single" w:sz="4" w:space="0" w:color="auto"/>
            </w:tcBorders>
            <w:vAlign w:val="center"/>
          </w:tcPr>
          <w:p w14:paraId="3E112113"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122</w:t>
            </w:r>
          </w:p>
        </w:tc>
        <w:tc>
          <w:tcPr>
            <w:tcW w:w="0" w:type="auto"/>
            <w:vAlign w:val="center"/>
          </w:tcPr>
          <w:p w14:paraId="322EA70D"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0</w:t>
            </w:r>
          </w:p>
        </w:tc>
        <w:tc>
          <w:tcPr>
            <w:tcW w:w="0" w:type="auto"/>
            <w:vAlign w:val="center"/>
          </w:tcPr>
          <w:p w14:paraId="42CB6CB2"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Influence of M&amp;O</w:t>
            </w:r>
          </w:p>
        </w:tc>
        <w:tc>
          <w:tcPr>
            <w:tcW w:w="0" w:type="auto"/>
            <w:vAlign w:val="center"/>
          </w:tcPr>
          <w:p w14:paraId="1115D3BD"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Yes</w:t>
            </w:r>
          </w:p>
        </w:tc>
        <w:tc>
          <w:tcPr>
            <w:tcW w:w="0" w:type="auto"/>
            <w:vAlign w:val="center"/>
          </w:tcPr>
          <w:p w14:paraId="0D68C2CB"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M&amp;O (</w:t>
            </w:r>
            <w:r w:rsidRPr="00C926EC">
              <w:rPr>
                <w:rFonts w:ascii="Arial" w:hAnsi="Arial" w:cs="Arial"/>
                <w:sz w:val="16"/>
                <w:szCs w:val="16"/>
              </w:rPr>
              <w:t>±1%</w:t>
            </w:r>
            <w:r w:rsidRPr="00C926EC">
              <w:rPr>
                <w:rFonts w:ascii="Arial" w:hAnsi="Arial" w:cs="Arial"/>
                <w:sz w:val="16"/>
                <w:szCs w:val="16"/>
                <w:lang w:val="en-US"/>
              </w:rPr>
              <w:t>)</w:t>
            </w:r>
          </w:p>
        </w:tc>
      </w:tr>
      <w:tr w:rsidR="00C926EC" w:rsidRPr="00C926EC" w14:paraId="27ECC295" w14:textId="77777777" w:rsidTr="007D5E1F">
        <w:trPr>
          <w:jc w:val="center"/>
        </w:trPr>
        <w:tc>
          <w:tcPr>
            <w:tcW w:w="0" w:type="auto"/>
            <w:tcBorders>
              <w:right w:val="single" w:sz="4" w:space="0" w:color="auto"/>
            </w:tcBorders>
            <w:vAlign w:val="center"/>
          </w:tcPr>
          <w:p w14:paraId="7E71DEC1" w14:textId="77777777" w:rsidR="0095377F" w:rsidRPr="00C926EC" w:rsidRDefault="0095377F" w:rsidP="007D5E1F">
            <w:pPr>
              <w:jc w:val="center"/>
              <w:rPr>
                <w:rFonts w:ascii="Arial" w:hAnsi="Arial" w:cs="Arial"/>
                <w:b/>
                <w:sz w:val="16"/>
                <w:szCs w:val="16"/>
                <w:lang w:val="en-US"/>
              </w:rPr>
            </w:pPr>
            <w:r w:rsidRPr="00C926EC">
              <w:rPr>
                <w:rFonts w:ascii="Arial" w:hAnsi="Arial" w:cs="Arial"/>
                <w:b/>
                <w:sz w:val="16"/>
                <w:szCs w:val="16"/>
                <w:lang w:val="en-US"/>
              </w:rPr>
              <w:t>53</w:t>
            </w:r>
          </w:p>
        </w:tc>
        <w:tc>
          <w:tcPr>
            <w:tcW w:w="0" w:type="auto"/>
            <w:tcBorders>
              <w:left w:val="single" w:sz="4" w:space="0" w:color="auto"/>
            </w:tcBorders>
            <w:vAlign w:val="center"/>
          </w:tcPr>
          <w:p w14:paraId="717B7FE1"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122</w:t>
            </w:r>
          </w:p>
        </w:tc>
        <w:tc>
          <w:tcPr>
            <w:tcW w:w="0" w:type="auto"/>
            <w:vAlign w:val="center"/>
          </w:tcPr>
          <w:p w14:paraId="29E5DEFD"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0</w:t>
            </w:r>
          </w:p>
        </w:tc>
        <w:tc>
          <w:tcPr>
            <w:tcW w:w="0" w:type="auto"/>
            <w:vAlign w:val="center"/>
          </w:tcPr>
          <w:p w14:paraId="72A85A50"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 xml:space="preserve">Influence of </w:t>
            </w:r>
            <w:proofErr w:type="spellStart"/>
            <w:r w:rsidRPr="00C926EC">
              <w:rPr>
                <w:rFonts w:ascii="Arial" w:hAnsi="Arial" w:cs="Arial"/>
                <w:sz w:val="16"/>
                <w:szCs w:val="16"/>
                <w:lang w:val="en-US"/>
              </w:rPr>
              <w:t>C</w:t>
            </w:r>
            <w:r w:rsidRPr="00C926EC">
              <w:rPr>
                <w:rFonts w:ascii="Arial" w:hAnsi="Arial" w:cs="Arial"/>
                <w:sz w:val="16"/>
                <w:szCs w:val="16"/>
                <w:vertAlign w:val="subscript"/>
                <w:lang w:val="en-US"/>
              </w:rPr>
              <w:t>eu</w:t>
            </w:r>
            <w:proofErr w:type="spellEnd"/>
          </w:p>
        </w:tc>
        <w:tc>
          <w:tcPr>
            <w:tcW w:w="0" w:type="auto"/>
            <w:vAlign w:val="center"/>
          </w:tcPr>
          <w:p w14:paraId="3F9D9710"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Yes</w:t>
            </w:r>
          </w:p>
        </w:tc>
        <w:tc>
          <w:tcPr>
            <w:tcW w:w="0" w:type="auto"/>
            <w:vAlign w:val="center"/>
          </w:tcPr>
          <w:p w14:paraId="1BB91F26" w14:textId="77777777" w:rsidR="0095377F" w:rsidRPr="00C926EC" w:rsidRDefault="0095377F" w:rsidP="007D5E1F">
            <w:pPr>
              <w:rPr>
                <w:rFonts w:ascii="Arial" w:hAnsi="Arial" w:cs="Arial"/>
                <w:sz w:val="16"/>
                <w:szCs w:val="16"/>
                <w:lang w:val="en-US"/>
              </w:rPr>
            </w:pPr>
            <w:proofErr w:type="spellStart"/>
            <w:r w:rsidRPr="00C926EC">
              <w:rPr>
                <w:rFonts w:ascii="Arial" w:hAnsi="Arial" w:cs="Arial"/>
                <w:sz w:val="16"/>
                <w:szCs w:val="16"/>
                <w:lang w:val="en-US"/>
              </w:rPr>
              <w:t>C</w:t>
            </w:r>
            <w:r w:rsidRPr="00C926EC">
              <w:rPr>
                <w:rFonts w:ascii="Arial" w:hAnsi="Arial" w:cs="Arial"/>
                <w:sz w:val="16"/>
                <w:szCs w:val="16"/>
                <w:vertAlign w:val="subscript"/>
                <w:lang w:val="en-US"/>
              </w:rPr>
              <w:t>eu</w:t>
            </w:r>
            <w:proofErr w:type="spellEnd"/>
            <w:r w:rsidRPr="00C926EC">
              <w:rPr>
                <w:rFonts w:ascii="Arial" w:hAnsi="Arial" w:cs="Arial"/>
                <w:sz w:val="16"/>
                <w:szCs w:val="16"/>
                <w:lang w:val="en-US"/>
              </w:rPr>
              <w:t xml:space="preserve"> (</w:t>
            </w:r>
            <w:r w:rsidRPr="00C926EC">
              <w:rPr>
                <w:rFonts w:ascii="Arial" w:hAnsi="Arial" w:cs="Arial"/>
                <w:sz w:val="16"/>
                <w:szCs w:val="16"/>
              </w:rPr>
              <w:t>±10%</w:t>
            </w:r>
            <w:r w:rsidRPr="00C926EC">
              <w:rPr>
                <w:rFonts w:ascii="Arial" w:hAnsi="Arial" w:cs="Arial"/>
                <w:sz w:val="16"/>
                <w:szCs w:val="16"/>
                <w:lang w:val="en-US"/>
              </w:rPr>
              <w:t>)</w:t>
            </w:r>
          </w:p>
        </w:tc>
      </w:tr>
      <w:tr w:rsidR="00C926EC" w:rsidRPr="00C926EC" w14:paraId="3EC92B31" w14:textId="77777777" w:rsidTr="007D5E1F">
        <w:trPr>
          <w:jc w:val="center"/>
        </w:trPr>
        <w:tc>
          <w:tcPr>
            <w:tcW w:w="0" w:type="auto"/>
            <w:tcBorders>
              <w:bottom w:val="single" w:sz="4" w:space="0" w:color="auto"/>
              <w:right w:val="single" w:sz="4" w:space="0" w:color="auto"/>
            </w:tcBorders>
            <w:vAlign w:val="center"/>
          </w:tcPr>
          <w:p w14:paraId="40F1966F" w14:textId="77777777" w:rsidR="0095377F" w:rsidRPr="00C926EC" w:rsidRDefault="0095377F" w:rsidP="007D5E1F">
            <w:pPr>
              <w:jc w:val="center"/>
              <w:rPr>
                <w:rFonts w:ascii="Arial" w:hAnsi="Arial" w:cs="Arial"/>
                <w:b/>
                <w:sz w:val="16"/>
                <w:szCs w:val="16"/>
                <w:lang w:val="en-US"/>
              </w:rPr>
            </w:pPr>
            <w:r w:rsidRPr="00C926EC">
              <w:rPr>
                <w:rFonts w:ascii="Arial" w:hAnsi="Arial" w:cs="Arial"/>
                <w:b/>
                <w:sz w:val="16"/>
                <w:szCs w:val="16"/>
                <w:lang w:val="en-US"/>
              </w:rPr>
              <w:t>54</w:t>
            </w:r>
          </w:p>
        </w:tc>
        <w:tc>
          <w:tcPr>
            <w:tcW w:w="0" w:type="auto"/>
            <w:tcBorders>
              <w:left w:val="single" w:sz="4" w:space="0" w:color="auto"/>
              <w:bottom w:val="single" w:sz="4" w:space="0" w:color="auto"/>
            </w:tcBorders>
            <w:vAlign w:val="center"/>
          </w:tcPr>
          <w:p w14:paraId="0F250508"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122</w:t>
            </w:r>
          </w:p>
        </w:tc>
        <w:tc>
          <w:tcPr>
            <w:tcW w:w="0" w:type="auto"/>
            <w:tcBorders>
              <w:bottom w:val="single" w:sz="4" w:space="0" w:color="auto"/>
            </w:tcBorders>
            <w:vAlign w:val="center"/>
          </w:tcPr>
          <w:p w14:paraId="1A3EBC2E"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0</w:t>
            </w:r>
          </w:p>
        </w:tc>
        <w:tc>
          <w:tcPr>
            <w:tcW w:w="0" w:type="auto"/>
            <w:tcBorders>
              <w:bottom w:val="single" w:sz="4" w:space="0" w:color="auto"/>
            </w:tcBorders>
            <w:vAlign w:val="center"/>
          </w:tcPr>
          <w:p w14:paraId="73C5F3FE" w14:textId="77777777" w:rsidR="0095377F" w:rsidRPr="00C926EC" w:rsidRDefault="0095377F" w:rsidP="007D5E1F">
            <w:pPr>
              <w:rPr>
                <w:rFonts w:ascii="Arial" w:hAnsi="Arial" w:cs="Arial"/>
                <w:sz w:val="16"/>
                <w:szCs w:val="16"/>
                <w:vertAlign w:val="subscript"/>
                <w:lang w:val="en-US"/>
              </w:rPr>
            </w:pPr>
            <w:r w:rsidRPr="00C926EC">
              <w:rPr>
                <w:rFonts w:ascii="Arial" w:hAnsi="Arial" w:cs="Arial"/>
                <w:sz w:val="16"/>
                <w:szCs w:val="16"/>
                <w:lang w:val="en-US"/>
              </w:rPr>
              <w:t>Influence of C</w:t>
            </w:r>
            <w:r w:rsidRPr="00C926EC">
              <w:rPr>
                <w:rFonts w:ascii="Arial" w:hAnsi="Arial" w:cs="Arial"/>
                <w:sz w:val="16"/>
                <w:szCs w:val="16"/>
                <w:vertAlign w:val="subscript"/>
                <w:lang w:val="en-US"/>
              </w:rPr>
              <w:t>i</w:t>
            </w:r>
          </w:p>
        </w:tc>
        <w:tc>
          <w:tcPr>
            <w:tcW w:w="0" w:type="auto"/>
            <w:tcBorders>
              <w:bottom w:val="single" w:sz="4" w:space="0" w:color="auto"/>
            </w:tcBorders>
            <w:vAlign w:val="center"/>
          </w:tcPr>
          <w:p w14:paraId="0C2E5BD3"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Yes</w:t>
            </w:r>
          </w:p>
        </w:tc>
        <w:tc>
          <w:tcPr>
            <w:tcW w:w="0" w:type="auto"/>
            <w:tcBorders>
              <w:bottom w:val="single" w:sz="4" w:space="0" w:color="auto"/>
            </w:tcBorders>
            <w:vAlign w:val="center"/>
          </w:tcPr>
          <w:p w14:paraId="69856D90"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C</w:t>
            </w:r>
            <w:r w:rsidRPr="00C926EC">
              <w:rPr>
                <w:rFonts w:ascii="Arial" w:hAnsi="Arial" w:cs="Arial"/>
                <w:sz w:val="16"/>
                <w:szCs w:val="16"/>
                <w:vertAlign w:val="subscript"/>
                <w:lang w:val="en-US"/>
              </w:rPr>
              <w:t>i</w:t>
            </w:r>
            <w:r w:rsidRPr="00C926EC">
              <w:rPr>
                <w:rFonts w:ascii="Arial" w:hAnsi="Arial" w:cs="Arial"/>
                <w:sz w:val="16"/>
                <w:szCs w:val="16"/>
                <w:lang w:val="en-US"/>
              </w:rPr>
              <w:t xml:space="preserve"> (</w:t>
            </w:r>
            <w:r w:rsidRPr="00C926EC">
              <w:rPr>
                <w:rFonts w:ascii="Arial" w:hAnsi="Arial" w:cs="Arial"/>
                <w:sz w:val="16"/>
                <w:szCs w:val="16"/>
              </w:rPr>
              <w:t>±0.5%</w:t>
            </w:r>
            <w:r w:rsidRPr="00C926EC">
              <w:rPr>
                <w:rFonts w:ascii="Arial" w:hAnsi="Arial" w:cs="Arial"/>
                <w:sz w:val="16"/>
                <w:szCs w:val="16"/>
                <w:lang w:val="en-US"/>
              </w:rPr>
              <w:t>)</w:t>
            </w:r>
          </w:p>
        </w:tc>
      </w:tr>
      <w:tr w:rsidR="00C926EC" w:rsidRPr="00C926EC" w14:paraId="6496B49E" w14:textId="77777777" w:rsidTr="007D5E1F">
        <w:trPr>
          <w:jc w:val="center"/>
        </w:trPr>
        <w:tc>
          <w:tcPr>
            <w:tcW w:w="0" w:type="auto"/>
            <w:tcBorders>
              <w:top w:val="single" w:sz="4" w:space="0" w:color="auto"/>
              <w:right w:val="single" w:sz="4" w:space="0" w:color="auto"/>
            </w:tcBorders>
            <w:vAlign w:val="center"/>
          </w:tcPr>
          <w:p w14:paraId="468AD6A2" w14:textId="77777777" w:rsidR="0095377F" w:rsidRPr="00C926EC" w:rsidRDefault="0095377F" w:rsidP="007D5E1F">
            <w:pPr>
              <w:jc w:val="center"/>
              <w:rPr>
                <w:rFonts w:ascii="Arial" w:hAnsi="Arial" w:cs="Arial"/>
                <w:b/>
                <w:sz w:val="16"/>
                <w:szCs w:val="16"/>
                <w:lang w:val="en-US"/>
              </w:rPr>
            </w:pPr>
            <w:r w:rsidRPr="00C926EC">
              <w:rPr>
                <w:rFonts w:ascii="Arial" w:hAnsi="Arial" w:cs="Arial"/>
                <w:b/>
                <w:sz w:val="16"/>
                <w:szCs w:val="16"/>
                <w:lang w:val="en-US"/>
              </w:rPr>
              <w:t>55</w:t>
            </w:r>
          </w:p>
        </w:tc>
        <w:tc>
          <w:tcPr>
            <w:tcW w:w="0" w:type="auto"/>
            <w:tcBorders>
              <w:top w:val="single" w:sz="4" w:space="0" w:color="auto"/>
              <w:left w:val="single" w:sz="4" w:space="0" w:color="auto"/>
            </w:tcBorders>
            <w:vAlign w:val="center"/>
          </w:tcPr>
          <w:p w14:paraId="5758EAE7"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94</w:t>
            </w:r>
          </w:p>
        </w:tc>
        <w:tc>
          <w:tcPr>
            <w:tcW w:w="0" w:type="auto"/>
            <w:tcBorders>
              <w:top w:val="single" w:sz="4" w:space="0" w:color="auto"/>
            </w:tcBorders>
            <w:vAlign w:val="center"/>
          </w:tcPr>
          <w:p w14:paraId="093888E5"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0</w:t>
            </w:r>
          </w:p>
        </w:tc>
        <w:tc>
          <w:tcPr>
            <w:tcW w:w="0" w:type="auto"/>
            <w:tcBorders>
              <w:top w:val="single" w:sz="4" w:space="0" w:color="auto"/>
            </w:tcBorders>
            <w:vAlign w:val="center"/>
          </w:tcPr>
          <w:p w14:paraId="58E87F06"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 xml:space="preserve">Influence of </w:t>
            </w:r>
            <w:proofErr w:type="spellStart"/>
            <w:r w:rsidRPr="00C926EC">
              <w:rPr>
                <w:rFonts w:ascii="Arial" w:hAnsi="Arial" w:cs="Arial"/>
                <w:sz w:val="16"/>
                <w:szCs w:val="16"/>
                <w:lang w:val="en-US"/>
              </w:rPr>
              <w:t>labour</w:t>
            </w:r>
            <w:proofErr w:type="spellEnd"/>
            <w:r w:rsidRPr="00C926EC">
              <w:rPr>
                <w:rFonts w:ascii="Arial" w:hAnsi="Arial" w:cs="Arial"/>
                <w:sz w:val="16"/>
                <w:szCs w:val="16"/>
                <w:lang w:val="en-US"/>
              </w:rPr>
              <w:t xml:space="preserve"> cost</w:t>
            </w:r>
          </w:p>
        </w:tc>
        <w:tc>
          <w:tcPr>
            <w:tcW w:w="0" w:type="auto"/>
            <w:tcBorders>
              <w:top w:val="single" w:sz="4" w:space="0" w:color="auto"/>
            </w:tcBorders>
            <w:vAlign w:val="center"/>
          </w:tcPr>
          <w:p w14:paraId="6A5DEE1B"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Yes</w:t>
            </w:r>
          </w:p>
        </w:tc>
        <w:tc>
          <w:tcPr>
            <w:tcW w:w="0" w:type="auto"/>
            <w:tcBorders>
              <w:top w:val="single" w:sz="4" w:space="0" w:color="auto"/>
            </w:tcBorders>
            <w:vAlign w:val="center"/>
          </w:tcPr>
          <w:p w14:paraId="30847559"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Number of workers (</w:t>
            </w:r>
            <w:r w:rsidRPr="00C926EC">
              <w:rPr>
                <w:rFonts w:ascii="Arial" w:hAnsi="Arial" w:cs="Arial"/>
                <w:sz w:val="16"/>
                <w:szCs w:val="16"/>
              </w:rPr>
              <w:t>±1</w:t>
            </w:r>
            <w:r w:rsidRPr="00C926EC">
              <w:rPr>
                <w:rFonts w:ascii="Arial" w:hAnsi="Arial" w:cs="Arial"/>
                <w:sz w:val="16"/>
                <w:szCs w:val="16"/>
                <w:lang w:val="en-US"/>
              </w:rPr>
              <w:t>)</w:t>
            </w:r>
          </w:p>
        </w:tc>
      </w:tr>
      <w:tr w:rsidR="00C926EC" w:rsidRPr="00C926EC" w14:paraId="4068BCA0" w14:textId="77777777" w:rsidTr="007D5E1F">
        <w:trPr>
          <w:jc w:val="center"/>
        </w:trPr>
        <w:tc>
          <w:tcPr>
            <w:tcW w:w="0" w:type="auto"/>
            <w:tcBorders>
              <w:right w:val="single" w:sz="4" w:space="0" w:color="auto"/>
            </w:tcBorders>
            <w:vAlign w:val="center"/>
          </w:tcPr>
          <w:p w14:paraId="049BF0B6" w14:textId="77777777" w:rsidR="0095377F" w:rsidRPr="00C926EC" w:rsidRDefault="0095377F" w:rsidP="007D5E1F">
            <w:pPr>
              <w:jc w:val="center"/>
              <w:rPr>
                <w:rFonts w:ascii="Arial" w:hAnsi="Arial" w:cs="Arial"/>
                <w:b/>
                <w:sz w:val="16"/>
                <w:szCs w:val="16"/>
                <w:lang w:val="en-US"/>
              </w:rPr>
            </w:pPr>
            <w:r w:rsidRPr="00C926EC">
              <w:rPr>
                <w:rFonts w:ascii="Arial" w:hAnsi="Arial" w:cs="Arial"/>
                <w:b/>
                <w:sz w:val="16"/>
                <w:szCs w:val="16"/>
                <w:lang w:val="en-US"/>
              </w:rPr>
              <w:t>56</w:t>
            </w:r>
          </w:p>
        </w:tc>
        <w:tc>
          <w:tcPr>
            <w:tcW w:w="0" w:type="auto"/>
            <w:tcBorders>
              <w:left w:val="single" w:sz="4" w:space="0" w:color="auto"/>
            </w:tcBorders>
            <w:vAlign w:val="center"/>
          </w:tcPr>
          <w:p w14:paraId="6D6E2B64"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94</w:t>
            </w:r>
          </w:p>
        </w:tc>
        <w:tc>
          <w:tcPr>
            <w:tcW w:w="0" w:type="auto"/>
            <w:vAlign w:val="center"/>
          </w:tcPr>
          <w:p w14:paraId="36837ACA"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0</w:t>
            </w:r>
          </w:p>
        </w:tc>
        <w:tc>
          <w:tcPr>
            <w:tcW w:w="0" w:type="auto"/>
            <w:vAlign w:val="center"/>
          </w:tcPr>
          <w:p w14:paraId="6D0A5ABE"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 xml:space="preserve">Influence of </w:t>
            </w:r>
            <w:proofErr w:type="spellStart"/>
            <w:r w:rsidRPr="00C926EC">
              <w:rPr>
                <w:rFonts w:ascii="Arial" w:hAnsi="Arial" w:cs="Arial"/>
                <w:sz w:val="16"/>
                <w:szCs w:val="16"/>
                <w:lang w:val="en-US"/>
              </w:rPr>
              <w:t>r</w:t>
            </w:r>
            <w:r w:rsidRPr="00C926EC">
              <w:rPr>
                <w:rFonts w:ascii="Arial" w:hAnsi="Arial" w:cs="Arial"/>
                <w:sz w:val="16"/>
                <w:szCs w:val="16"/>
                <w:vertAlign w:val="subscript"/>
                <w:lang w:val="en-US"/>
              </w:rPr>
              <w:t>d</w:t>
            </w:r>
            <w:proofErr w:type="spellEnd"/>
          </w:p>
        </w:tc>
        <w:tc>
          <w:tcPr>
            <w:tcW w:w="0" w:type="auto"/>
            <w:vAlign w:val="center"/>
          </w:tcPr>
          <w:p w14:paraId="4148102D"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Yes</w:t>
            </w:r>
          </w:p>
        </w:tc>
        <w:tc>
          <w:tcPr>
            <w:tcW w:w="0" w:type="auto"/>
            <w:vAlign w:val="center"/>
          </w:tcPr>
          <w:p w14:paraId="04A17095" w14:textId="77777777" w:rsidR="0095377F" w:rsidRPr="00C926EC" w:rsidRDefault="0095377F" w:rsidP="007D5E1F">
            <w:pPr>
              <w:rPr>
                <w:rFonts w:ascii="Arial" w:hAnsi="Arial" w:cs="Arial"/>
                <w:sz w:val="16"/>
                <w:szCs w:val="16"/>
                <w:lang w:val="en-US"/>
              </w:rPr>
            </w:pPr>
            <w:proofErr w:type="spellStart"/>
            <w:r w:rsidRPr="00C926EC">
              <w:rPr>
                <w:rFonts w:ascii="Arial" w:hAnsi="Arial" w:cs="Arial"/>
                <w:sz w:val="16"/>
                <w:szCs w:val="16"/>
                <w:lang w:val="en-US"/>
              </w:rPr>
              <w:t>r</w:t>
            </w:r>
            <w:r w:rsidRPr="00C926EC">
              <w:rPr>
                <w:rFonts w:ascii="Arial" w:hAnsi="Arial" w:cs="Arial"/>
                <w:sz w:val="16"/>
                <w:szCs w:val="16"/>
                <w:vertAlign w:val="subscript"/>
                <w:lang w:val="en-US"/>
              </w:rPr>
              <w:t>d</w:t>
            </w:r>
            <w:proofErr w:type="spellEnd"/>
            <w:r w:rsidRPr="00C926EC">
              <w:rPr>
                <w:rFonts w:ascii="Arial" w:hAnsi="Arial" w:cs="Arial"/>
                <w:sz w:val="16"/>
                <w:szCs w:val="16"/>
                <w:lang w:val="en-US"/>
              </w:rPr>
              <w:t xml:space="preserve"> (</w:t>
            </w:r>
            <w:r w:rsidRPr="00C926EC">
              <w:rPr>
                <w:rFonts w:ascii="Arial" w:hAnsi="Arial" w:cs="Arial"/>
                <w:sz w:val="16"/>
                <w:szCs w:val="16"/>
              </w:rPr>
              <w:t>±1%</w:t>
            </w:r>
            <w:r w:rsidRPr="00C926EC">
              <w:rPr>
                <w:rFonts w:ascii="Arial" w:hAnsi="Arial" w:cs="Arial"/>
                <w:sz w:val="16"/>
                <w:szCs w:val="16"/>
                <w:lang w:val="en-US"/>
              </w:rPr>
              <w:t>)</w:t>
            </w:r>
          </w:p>
        </w:tc>
      </w:tr>
      <w:tr w:rsidR="00C926EC" w:rsidRPr="00C926EC" w14:paraId="38CA53F8" w14:textId="77777777" w:rsidTr="007D5E1F">
        <w:trPr>
          <w:jc w:val="center"/>
        </w:trPr>
        <w:tc>
          <w:tcPr>
            <w:tcW w:w="0" w:type="auto"/>
            <w:tcBorders>
              <w:right w:val="single" w:sz="4" w:space="0" w:color="auto"/>
            </w:tcBorders>
            <w:vAlign w:val="center"/>
          </w:tcPr>
          <w:p w14:paraId="0D191E52" w14:textId="77777777" w:rsidR="0095377F" w:rsidRPr="00C926EC" w:rsidRDefault="0095377F" w:rsidP="007D5E1F">
            <w:pPr>
              <w:jc w:val="center"/>
              <w:rPr>
                <w:rFonts w:ascii="Arial" w:hAnsi="Arial" w:cs="Arial"/>
                <w:b/>
                <w:sz w:val="16"/>
                <w:szCs w:val="16"/>
                <w:lang w:val="en-US"/>
              </w:rPr>
            </w:pPr>
            <w:r w:rsidRPr="00C926EC">
              <w:rPr>
                <w:rFonts w:ascii="Arial" w:hAnsi="Arial" w:cs="Arial"/>
                <w:b/>
                <w:sz w:val="16"/>
                <w:szCs w:val="16"/>
                <w:lang w:val="en-US"/>
              </w:rPr>
              <w:t>57</w:t>
            </w:r>
          </w:p>
        </w:tc>
        <w:tc>
          <w:tcPr>
            <w:tcW w:w="0" w:type="auto"/>
            <w:tcBorders>
              <w:left w:val="single" w:sz="4" w:space="0" w:color="auto"/>
            </w:tcBorders>
            <w:vAlign w:val="center"/>
          </w:tcPr>
          <w:p w14:paraId="17ACDB40"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94</w:t>
            </w:r>
          </w:p>
        </w:tc>
        <w:tc>
          <w:tcPr>
            <w:tcW w:w="0" w:type="auto"/>
            <w:vAlign w:val="center"/>
          </w:tcPr>
          <w:p w14:paraId="5D63E736"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0</w:t>
            </w:r>
          </w:p>
        </w:tc>
        <w:tc>
          <w:tcPr>
            <w:tcW w:w="0" w:type="auto"/>
            <w:vAlign w:val="center"/>
          </w:tcPr>
          <w:p w14:paraId="5CA9EEF6"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 xml:space="preserve">Influence of </w:t>
            </w:r>
            <w:proofErr w:type="spellStart"/>
            <w:r w:rsidRPr="00C926EC">
              <w:rPr>
                <w:rFonts w:ascii="Arial" w:hAnsi="Arial" w:cs="Arial"/>
                <w:sz w:val="16"/>
                <w:szCs w:val="16"/>
                <w:lang w:val="en-US"/>
              </w:rPr>
              <w:t>r</w:t>
            </w:r>
            <w:r w:rsidRPr="00C926EC">
              <w:rPr>
                <w:rFonts w:ascii="Arial" w:hAnsi="Arial" w:cs="Arial"/>
                <w:sz w:val="16"/>
                <w:szCs w:val="16"/>
                <w:vertAlign w:val="subscript"/>
                <w:lang w:val="en-US"/>
              </w:rPr>
              <w:t>int</w:t>
            </w:r>
            <w:proofErr w:type="spellEnd"/>
          </w:p>
        </w:tc>
        <w:tc>
          <w:tcPr>
            <w:tcW w:w="0" w:type="auto"/>
            <w:vAlign w:val="center"/>
          </w:tcPr>
          <w:p w14:paraId="7E41463B"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Yes</w:t>
            </w:r>
          </w:p>
        </w:tc>
        <w:tc>
          <w:tcPr>
            <w:tcW w:w="0" w:type="auto"/>
            <w:vAlign w:val="center"/>
          </w:tcPr>
          <w:p w14:paraId="293030BC" w14:textId="77777777" w:rsidR="0095377F" w:rsidRPr="00C926EC" w:rsidRDefault="0095377F" w:rsidP="007D5E1F">
            <w:pPr>
              <w:rPr>
                <w:rFonts w:ascii="Arial" w:hAnsi="Arial" w:cs="Arial"/>
                <w:sz w:val="16"/>
                <w:szCs w:val="16"/>
                <w:lang w:val="en-US"/>
              </w:rPr>
            </w:pPr>
            <w:proofErr w:type="spellStart"/>
            <w:r w:rsidRPr="00C926EC">
              <w:rPr>
                <w:rFonts w:ascii="Arial" w:hAnsi="Arial" w:cs="Arial"/>
                <w:sz w:val="16"/>
                <w:szCs w:val="16"/>
                <w:lang w:val="en-US"/>
              </w:rPr>
              <w:t>r</w:t>
            </w:r>
            <w:r w:rsidRPr="00C926EC">
              <w:rPr>
                <w:rFonts w:ascii="Arial" w:hAnsi="Arial" w:cs="Arial"/>
                <w:sz w:val="16"/>
                <w:szCs w:val="16"/>
                <w:vertAlign w:val="subscript"/>
                <w:lang w:val="en-US"/>
              </w:rPr>
              <w:t>iint</w:t>
            </w:r>
            <w:proofErr w:type="spellEnd"/>
            <w:r w:rsidRPr="00C926EC">
              <w:rPr>
                <w:rFonts w:ascii="Arial" w:hAnsi="Arial" w:cs="Arial"/>
                <w:sz w:val="16"/>
                <w:szCs w:val="16"/>
                <w:lang w:val="en-US"/>
              </w:rPr>
              <w:t xml:space="preserve"> (</w:t>
            </w:r>
            <w:r w:rsidRPr="00C926EC">
              <w:rPr>
                <w:rFonts w:ascii="Arial" w:hAnsi="Arial" w:cs="Arial"/>
                <w:sz w:val="16"/>
                <w:szCs w:val="16"/>
              </w:rPr>
              <w:t>±3%</w:t>
            </w:r>
            <w:r w:rsidRPr="00C926EC">
              <w:rPr>
                <w:rFonts w:ascii="Arial" w:hAnsi="Arial" w:cs="Arial"/>
                <w:sz w:val="16"/>
                <w:szCs w:val="16"/>
                <w:lang w:val="en-US"/>
              </w:rPr>
              <w:t>)</w:t>
            </w:r>
          </w:p>
        </w:tc>
      </w:tr>
      <w:tr w:rsidR="00C926EC" w:rsidRPr="00C926EC" w14:paraId="7594A657" w14:textId="77777777" w:rsidTr="007D5E1F">
        <w:trPr>
          <w:jc w:val="center"/>
        </w:trPr>
        <w:tc>
          <w:tcPr>
            <w:tcW w:w="0" w:type="auto"/>
            <w:tcBorders>
              <w:right w:val="single" w:sz="4" w:space="0" w:color="auto"/>
            </w:tcBorders>
            <w:vAlign w:val="center"/>
          </w:tcPr>
          <w:p w14:paraId="4504295C" w14:textId="77777777" w:rsidR="0095377F" w:rsidRPr="00C926EC" w:rsidRDefault="0095377F" w:rsidP="007D5E1F">
            <w:pPr>
              <w:jc w:val="center"/>
              <w:rPr>
                <w:rFonts w:ascii="Arial" w:hAnsi="Arial" w:cs="Arial"/>
                <w:b/>
                <w:sz w:val="16"/>
                <w:szCs w:val="16"/>
                <w:lang w:val="en-US"/>
              </w:rPr>
            </w:pPr>
            <w:r w:rsidRPr="00C926EC">
              <w:rPr>
                <w:rFonts w:ascii="Arial" w:hAnsi="Arial" w:cs="Arial"/>
                <w:b/>
                <w:sz w:val="16"/>
                <w:szCs w:val="16"/>
                <w:lang w:val="en-US"/>
              </w:rPr>
              <w:t>58</w:t>
            </w:r>
          </w:p>
        </w:tc>
        <w:tc>
          <w:tcPr>
            <w:tcW w:w="0" w:type="auto"/>
            <w:tcBorders>
              <w:left w:val="single" w:sz="4" w:space="0" w:color="auto"/>
            </w:tcBorders>
            <w:vAlign w:val="center"/>
          </w:tcPr>
          <w:p w14:paraId="4BB38736"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94</w:t>
            </w:r>
          </w:p>
        </w:tc>
        <w:tc>
          <w:tcPr>
            <w:tcW w:w="0" w:type="auto"/>
            <w:vAlign w:val="center"/>
          </w:tcPr>
          <w:p w14:paraId="415705D3"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0</w:t>
            </w:r>
          </w:p>
        </w:tc>
        <w:tc>
          <w:tcPr>
            <w:tcW w:w="0" w:type="auto"/>
            <w:vAlign w:val="center"/>
          </w:tcPr>
          <w:p w14:paraId="42873603"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Influence of M&amp;O</w:t>
            </w:r>
          </w:p>
        </w:tc>
        <w:tc>
          <w:tcPr>
            <w:tcW w:w="0" w:type="auto"/>
            <w:vAlign w:val="center"/>
          </w:tcPr>
          <w:p w14:paraId="582FDA12"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Yes</w:t>
            </w:r>
          </w:p>
        </w:tc>
        <w:tc>
          <w:tcPr>
            <w:tcW w:w="0" w:type="auto"/>
            <w:vAlign w:val="center"/>
          </w:tcPr>
          <w:p w14:paraId="3ECDBB3B"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M&amp;O (</w:t>
            </w:r>
            <w:r w:rsidRPr="00C926EC">
              <w:rPr>
                <w:rFonts w:ascii="Arial" w:hAnsi="Arial" w:cs="Arial"/>
                <w:sz w:val="16"/>
                <w:szCs w:val="16"/>
              </w:rPr>
              <w:t>±1%</w:t>
            </w:r>
            <w:r w:rsidRPr="00C926EC">
              <w:rPr>
                <w:rFonts w:ascii="Arial" w:hAnsi="Arial" w:cs="Arial"/>
                <w:sz w:val="16"/>
                <w:szCs w:val="16"/>
                <w:lang w:val="en-US"/>
              </w:rPr>
              <w:t>)</w:t>
            </w:r>
          </w:p>
        </w:tc>
      </w:tr>
      <w:tr w:rsidR="00C926EC" w:rsidRPr="00C926EC" w14:paraId="3DF2E6E7" w14:textId="77777777" w:rsidTr="007D5E1F">
        <w:trPr>
          <w:jc w:val="center"/>
        </w:trPr>
        <w:tc>
          <w:tcPr>
            <w:tcW w:w="0" w:type="auto"/>
            <w:tcBorders>
              <w:right w:val="single" w:sz="4" w:space="0" w:color="auto"/>
            </w:tcBorders>
            <w:vAlign w:val="center"/>
          </w:tcPr>
          <w:p w14:paraId="62BE44A0" w14:textId="77777777" w:rsidR="0095377F" w:rsidRPr="00C926EC" w:rsidRDefault="0095377F" w:rsidP="007D5E1F">
            <w:pPr>
              <w:jc w:val="center"/>
              <w:rPr>
                <w:rFonts w:ascii="Arial" w:hAnsi="Arial" w:cs="Arial"/>
                <w:b/>
                <w:sz w:val="16"/>
                <w:szCs w:val="16"/>
                <w:lang w:val="en-US"/>
              </w:rPr>
            </w:pPr>
            <w:r w:rsidRPr="00C926EC">
              <w:rPr>
                <w:rFonts w:ascii="Arial" w:hAnsi="Arial" w:cs="Arial"/>
                <w:b/>
                <w:sz w:val="16"/>
                <w:szCs w:val="16"/>
                <w:lang w:val="en-US"/>
              </w:rPr>
              <w:t>59</w:t>
            </w:r>
          </w:p>
        </w:tc>
        <w:tc>
          <w:tcPr>
            <w:tcW w:w="0" w:type="auto"/>
            <w:tcBorders>
              <w:left w:val="single" w:sz="4" w:space="0" w:color="auto"/>
            </w:tcBorders>
            <w:vAlign w:val="center"/>
          </w:tcPr>
          <w:p w14:paraId="385B930E"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94</w:t>
            </w:r>
          </w:p>
        </w:tc>
        <w:tc>
          <w:tcPr>
            <w:tcW w:w="0" w:type="auto"/>
            <w:vAlign w:val="center"/>
          </w:tcPr>
          <w:p w14:paraId="2C254D43"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0</w:t>
            </w:r>
          </w:p>
        </w:tc>
        <w:tc>
          <w:tcPr>
            <w:tcW w:w="0" w:type="auto"/>
            <w:vAlign w:val="center"/>
          </w:tcPr>
          <w:p w14:paraId="2E11E0A1"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 xml:space="preserve">Influence of </w:t>
            </w:r>
            <w:proofErr w:type="spellStart"/>
            <w:r w:rsidRPr="00C926EC">
              <w:rPr>
                <w:rFonts w:ascii="Arial" w:hAnsi="Arial" w:cs="Arial"/>
                <w:sz w:val="16"/>
                <w:szCs w:val="16"/>
                <w:lang w:val="en-US"/>
              </w:rPr>
              <w:t>C</w:t>
            </w:r>
            <w:r w:rsidRPr="00C926EC">
              <w:rPr>
                <w:rFonts w:ascii="Arial" w:hAnsi="Arial" w:cs="Arial"/>
                <w:sz w:val="16"/>
                <w:szCs w:val="16"/>
                <w:vertAlign w:val="subscript"/>
                <w:lang w:val="en-US"/>
              </w:rPr>
              <w:t>eu</w:t>
            </w:r>
            <w:proofErr w:type="spellEnd"/>
          </w:p>
        </w:tc>
        <w:tc>
          <w:tcPr>
            <w:tcW w:w="0" w:type="auto"/>
            <w:vAlign w:val="center"/>
          </w:tcPr>
          <w:p w14:paraId="7EE3396E"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Yes</w:t>
            </w:r>
          </w:p>
        </w:tc>
        <w:tc>
          <w:tcPr>
            <w:tcW w:w="0" w:type="auto"/>
            <w:vAlign w:val="center"/>
          </w:tcPr>
          <w:p w14:paraId="6E1F32F6" w14:textId="77777777" w:rsidR="0095377F" w:rsidRPr="00C926EC" w:rsidRDefault="0095377F" w:rsidP="007D5E1F">
            <w:pPr>
              <w:rPr>
                <w:rFonts w:ascii="Arial" w:hAnsi="Arial" w:cs="Arial"/>
                <w:sz w:val="16"/>
                <w:szCs w:val="16"/>
                <w:lang w:val="en-US"/>
              </w:rPr>
            </w:pPr>
            <w:proofErr w:type="spellStart"/>
            <w:r w:rsidRPr="00C926EC">
              <w:rPr>
                <w:rFonts w:ascii="Arial" w:hAnsi="Arial" w:cs="Arial"/>
                <w:sz w:val="16"/>
                <w:szCs w:val="16"/>
                <w:lang w:val="en-US"/>
              </w:rPr>
              <w:t>C</w:t>
            </w:r>
            <w:r w:rsidRPr="00C926EC">
              <w:rPr>
                <w:rFonts w:ascii="Arial" w:hAnsi="Arial" w:cs="Arial"/>
                <w:sz w:val="16"/>
                <w:szCs w:val="16"/>
                <w:vertAlign w:val="subscript"/>
                <w:lang w:val="en-US"/>
              </w:rPr>
              <w:t>eu</w:t>
            </w:r>
            <w:proofErr w:type="spellEnd"/>
            <w:r w:rsidRPr="00C926EC">
              <w:rPr>
                <w:rFonts w:ascii="Arial" w:hAnsi="Arial" w:cs="Arial"/>
                <w:sz w:val="16"/>
                <w:szCs w:val="16"/>
                <w:lang w:val="en-US"/>
              </w:rPr>
              <w:t xml:space="preserve"> (</w:t>
            </w:r>
            <w:r w:rsidRPr="00C926EC">
              <w:rPr>
                <w:rFonts w:ascii="Arial" w:hAnsi="Arial" w:cs="Arial"/>
                <w:sz w:val="16"/>
                <w:szCs w:val="16"/>
              </w:rPr>
              <w:t>±10%</w:t>
            </w:r>
            <w:r w:rsidRPr="00C926EC">
              <w:rPr>
                <w:rFonts w:ascii="Arial" w:hAnsi="Arial" w:cs="Arial"/>
                <w:sz w:val="16"/>
                <w:szCs w:val="16"/>
                <w:lang w:val="en-US"/>
              </w:rPr>
              <w:t>)</w:t>
            </w:r>
          </w:p>
        </w:tc>
      </w:tr>
      <w:tr w:rsidR="00C926EC" w:rsidRPr="00C926EC" w14:paraId="3D981810" w14:textId="77777777" w:rsidTr="007D5E1F">
        <w:trPr>
          <w:jc w:val="center"/>
        </w:trPr>
        <w:tc>
          <w:tcPr>
            <w:tcW w:w="0" w:type="auto"/>
            <w:tcBorders>
              <w:bottom w:val="single" w:sz="4" w:space="0" w:color="auto"/>
              <w:right w:val="single" w:sz="4" w:space="0" w:color="auto"/>
            </w:tcBorders>
            <w:vAlign w:val="center"/>
          </w:tcPr>
          <w:p w14:paraId="2A90F62C" w14:textId="77777777" w:rsidR="0095377F" w:rsidRPr="00C926EC" w:rsidRDefault="0095377F" w:rsidP="007D5E1F">
            <w:pPr>
              <w:jc w:val="center"/>
              <w:rPr>
                <w:rFonts w:ascii="Arial" w:hAnsi="Arial" w:cs="Arial"/>
                <w:b/>
                <w:sz w:val="16"/>
                <w:szCs w:val="16"/>
                <w:lang w:val="en-US"/>
              </w:rPr>
            </w:pPr>
            <w:r w:rsidRPr="00C926EC">
              <w:rPr>
                <w:rFonts w:ascii="Arial" w:hAnsi="Arial" w:cs="Arial"/>
                <w:b/>
                <w:sz w:val="16"/>
                <w:szCs w:val="16"/>
                <w:lang w:val="en-US"/>
              </w:rPr>
              <w:t>60</w:t>
            </w:r>
          </w:p>
        </w:tc>
        <w:tc>
          <w:tcPr>
            <w:tcW w:w="0" w:type="auto"/>
            <w:tcBorders>
              <w:left w:val="single" w:sz="4" w:space="0" w:color="auto"/>
              <w:bottom w:val="single" w:sz="4" w:space="0" w:color="auto"/>
            </w:tcBorders>
            <w:vAlign w:val="center"/>
          </w:tcPr>
          <w:p w14:paraId="1640D00D"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94</w:t>
            </w:r>
          </w:p>
        </w:tc>
        <w:tc>
          <w:tcPr>
            <w:tcW w:w="0" w:type="auto"/>
            <w:tcBorders>
              <w:bottom w:val="single" w:sz="4" w:space="0" w:color="auto"/>
            </w:tcBorders>
            <w:vAlign w:val="center"/>
          </w:tcPr>
          <w:p w14:paraId="4F7A42F0"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0</w:t>
            </w:r>
          </w:p>
        </w:tc>
        <w:tc>
          <w:tcPr>
            <w:tcW w:w="0" w:type="auto"/>
            <w:tcBorders>
              <w:bottom w:val="single" w:sz="4" w:space="0" w:color="auto"/>
            </w:tcBorders>
            <w:vAlign w:val="center"/>
          </w:tcPr>
          <w:p w14:paraId="2066BE37"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Influence of C</w:t>
            </w:r>
            <w:r w:rsidRPr="00C926EC">
              <w:rPr>
                <w:rFonts w:ascii="Arial" w:hAnsi="Arial" w:cs="Arial"/>
                <w:sz w:val="16"/>
                <w:szCs w:val="16"/>
                <w:vertAlign w:val="subscript"/>
                <w:lang w:val="en-US"/>
              </w:rPr>
              <w:t>i</w:t>
            </w:r>
          </w:p>
        </w:tc>
        <w:tc>
          <w:tcPr>
            <w:tcW w:w="0" w:type="auto"/>
            <w:tcBorders>
              <w:bottom w:val="single" w:sz="4" w:space="0" w:color="auto"/>
            </w:tcBorders>
            <w:vAlign w:val="center"/>
          </w:tcPr>
          <w:p w14:paraId="209C1355"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Yes</w:t>
            </w:r>
          </w:p>
        </w:tc>
        <w:tc>
          <w:tcPr>
            <w:tcW w:w="0" w:type="auto"/>
            <w:tcBorders>
              <w:bottom w:val="single" w:sz="4" w:space="0" w:color="auto"/>
            </w:tcBorders>
            <w:vAlign w:val="center"/>
          </w:tcPr>
          <w:p w14:paraId="1E9E6512"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C</w:t>
            </w:r>
            <w:r w:rsidRPr="00C926EC">
              <w:rPr>
                <w:rFonts w:ascii="Arial" w:hAnsi="Arial" w:cs="Arial"/>
                <w:sz w:val="16"/>
                <w:szCs w:val="16"/>
                <w:vertAlign w:val="subscript"/>
                <w:lang w:val="en-US"/>
              </w:rPr>
              <w:t>i</w:t>
            </w:r>
            <w:r w:rsidRPr="00C926EC">
              <w:rPr>
                <w:rFonts w:ascii="Arial" w:hAnsi="Arial" w:cs="Arial"/>
                <w:sz w:val="16"/>
                <w:szCs w:val="16"/>
                <w:lang w:val="en-US"/>
              </w:rPr>
              <w:t xml:space="preserve"> (</w:t>
            </w:r>
            <w:r w:rsidRPr="00C926EC">
              <w:rPr>
                <w:rFonts w:ascii="Arial" w:hAnsi="Arial" w:cs="Arial"/>
                <w:sz w:val="16"/>
                <w:szCs w:val="16"/>
              </w:rPr>
              <w:t>±0.5%</w:t>
            </w:r>
            <w:r w:rsidRPr="00C926EC">
              <w:rPr>
                <w:rFonts w:ascii="Arial" w:hAnsi="Arial" w:cs="Arial"/>
                <w:sz w:val="16"/>
                <w:szCs w:val="16"/>
                <w:lang w:val="en-US"/>
              </w:rPr>
              <w:t>)</w:t>
            </w:r>
          </w:p>
        </w:tc>
      </w:tr>
      <w:tr w:rsidR="00C926EC" w:rsidRPr="00C926EC" w14:paraId="175FC1A9" w14:textId="77777777" w:rsidTr="007D5E1F">
        <w:trPr>
          <w:jc w:val="center"/>
        </w:trPr>
        <w:tc>
          <w:tcPr>
            <w:tcW w:w="0" w:type="auto"/>
            <w:tcBorders>
              <w:top w:val="single" w:sz="4" w:space="0" w:color="auto"/>
              <w:right w:val="single" w:sz="4" w:space="0" w:color="auto"/>
            </w:tcBorders>
            <w:vAlign w:val="center"/>
          </w:tcPr>
          <w:p w14:paraId="0EE00451" w14:textId="77777777" w:rsidR="0095377F" w:rsidRPr="00C926EC" w:rsidRDefault="0095377F" w:rsidP="007D5E1F">
            <w:pPr>
              <w:jc w:val="center"/>
              <w:rPr>
                <w:rFonts w:ascii="Arial" w:hAnsi="Arial" w:cs="Arial"/>
                <w:b/>
                <w:sz w:val="16"/>
                <w:szCs w:val="16"/>
                <w:lang w:val="en-US"/>
              </w:rPr>
            </w:pPr>
            <w:r w:rsidRPr="00C926EC">
              <w:rPr>
                <w:rFonts w:ascii="Arial" w:hAnsi="Arial" w:cs="Arial"/>
                <w:b/>
                <w:sz w:val="16"/>
                <w:szCs w:val="16"/>
                <w:lang w:val="en-US"/>
              </w:rPr>
              <w:t>61</w:t>
            </w:r>
          </w:p>
        </w:tc>
        <w:tc>
          <w:tcPr>
            <w:tcW w:w="0" w:type="auto"/>
            <w:tcBorders>
              <w:top w:val="single" w:sz="4" w:space="0" w:color="auto"/>
              <w:left w:val="single" w:sz="4" w:space="0" w:color="auto"/>
            </w:tcBorders>
            <w:vAlign w:val="center"/>
          </w:tcPr>
          <w:p w14:paraId="43125D7C"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182</w:t>
            </w:r>
          </w:p>
        </w:tc>
        <w:tc>
          <w:tcPr>
            <w:tcW w:w="0" w:type="auto"/>
            <w:tcBorders>
              <w:top w:val="single" w:sz="4" w:space="0" w:color="auto"/>
            </w:tcBorders>
            <w:vAlign w:val="center"/>
          </w:tcPr>
          <w:p w14:paraId="32993185"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0</w:t>
            </w:r>
          </w:p>
        </w:tc>
        <w:tc>
          <w:tcPr>
            <w:tcW w:w="0" w:type="auto"/>
            <w:tcBorders>
              <w:top w:val="single" w:sz="4" w:space="0" w:color="auto"/>
            </w:tcBorders>
            <w:vAlign w:val="center"/>
          </w:tcPr>
          <w:p w14:paraId="3A0D7C21"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 xml:space="preserve">Influence of </w:t>
            </w:r>
            <w:proofErr w:type="spellStart"/>
            <w:r w:rsidRPr="00C926EC">
              <w:rPr>
                <w:rFonts w:ascii="Arial" w:hAnsi="Arial" w:cs="Arial"/>
                <w:sz w:val="16"/>
                <w:szCs w:val="16"/>
                <w:lang w:val="en-US"/>
              </w:rPr>
              <w:t>labour</w:t>
            </w:r>
            <w:proofErr w:type="spellEnd"/>
            <w:r w:rsidRPr="00C926EC">
              <w:rPr>
                <w:rFonts w:ascii="Arial" w:hAnsi="Arial" w:cs="Arial"/>
                <w:sz w:val="16"/>
                <w:szCs w:val="16"/>
                <w:lang w:val="en-US"/>
              </w:rPr>
              <w:t xml:space="preserve"> cost</w:t>
            </w:r>
          </w:p>
        </w:tc>
        <w:tc>
          <w:tcPr>
            <w:tcW w:w="0" w:type="auto"/>
            <w:tcBorders>
              <w:top w:val="single" w:sz="4" w:space="0" w:color="auto"/>
            </w:tcBorders>
            <w:vAlign w:val="center"/>
          </w:tcPr>
          <w:p w14:paraId="325FDC66"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Yes</w:t>
            </w:r>
          </w:p>
        </w:tc>
        <w:tc>
          <w:tcPr>
            <w:tcW w:w="0" w:type="auto"/>
            <w:tcBorders>
              <w:top w:val="single" w:sz="4" w:space="0" w:color="auto"/>
            </w:tcBorders>
            <w:vAlign w:val="center"/>
          </w:tcPr>
          <w:p w14:paraId="229709CD"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Number of workers (</w:t>
            </w:r>
            <w:r w:rsidRPr="00C926EC">
              <w:rPr>
                <w:rFonts w:ascii="Arial" w:hAnsi="Arial" w:cs="Arial"/>
                <w:sz w:val="16"/>
                <w:szCs w:val="16"/>
              </w:rPr>
              <w:t>±1</w:t>
            </w:r>
            <w:r w:rsidRPr="00C926EC">
              <w:rPr>
                <w:rFonts w:ascii="Arial" w:hAnsi="Arial" w:cs="Arial"/>
                <w:sz w:val="16"/>
                <w:szCs w:val="16"/>
                <w:lang w:val="en-US"/>
              </w:rPr>
              <w:t>)</w:t>
            </w:r>
          </w:p>
        </w:tc>
      </w:tr>
      <w:tr w:rsidR="00C926EC" w:rsidRPr="00C926EC" w14:paraId="138C5032" w14:textId="77777777" w:rsidTr="007D5E1F">
        <w:trPr>
          <w:jc w:val="center"/>
        </w:trPr>
        <w:tc>
          <w:tcPr>
            <w:tcW w:w="0" w:type="auto"/>
            <w:tcBorders>
              <w:right w:val="single" w:sz="4" w:space="0" w:color="auto"/>
            </w:tcBorders>
            <w:vAlign w:val="center"/>
          </w:tcPr>
          <w:p w14:paraId="4F952F1C" w14:textId="77777777" w:rsidR="0095377F" w:rsidRPr="00C926EC" w:rsidRDefault="0095377F" w:rsidP="007D5E1F">
            <w:pPr>
              <w:jc w:val="center"/>
              <w:rPr>
                <w:rFonts w:ascii="Arial" w:hAnsi="Arial" w:cs="Arial"/>
                <w:b/>
                <w:sz w:val="16"/>
                <w:szCs w:val="16"/>
                <w:lang w:val="en-US"/>
              </w:rPr>
            </w:pPr>
            <w:r w:rsidRPr="00C926EC">
              <w:rPr>
                <w:rFonts w:ascii="Arial" w:hAnsi="Arial" w:cs="Arial"/>
                <w:b/>
                <w:sz w:val="16"/>
                <w:szCs w:val="16"/>
                <w:lang w:val="en-US"/>
              </w:rPr>
              <w:t>62</w:t>
            </w:r>
          </w:p>
        </w:tc>
        <w:tc>
          <w:tcPr>
            <w:tcW w:w="0" w:type="auto"/>
            <w:tcBorders>
              <w:left w:val="single" w:sz="4" w:space="0" w:color="auto"/>
            </w:tcBorders>
            <w:vAlign w:val="center"/>
          </w:tcPr>
          <w:p w14:paraId="293D2049"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182</w:t>
            </w:r>
          </w:p>
        </w:tc>
        <w:tc>
          <w:tcPr>
            <w:tcW w:w="0" w:type="auto"/>
            <w:vAlign w:val="center"/>
          </w:tcPr>
          <w:p w14:paraId="290C6591"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0</w:t>
            </w:r>
          </w:p>
        </w:tc>
        <w:tc>
          <w:tcPr>
            <w:tcW w:w="0" w:type="auto"/>
            <w:vAlign w:val="center"/>
          </w:tcPr>
          <w:p w14:paraId="5BA1255F"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 xml:space="preserve">Influence of </w:t>
            </w:r>
            <w:proofErr w:type="spellStart"/>
            <w:r w:rsidRPr="00C926EC">
              <w:rPr>
                <w:rFonts w:ascii="Arial" w:hAnsi="Arial" w:cs="Arial"/>
                <w:sz w:val="16"/>
                <w:szCs w:val="16"/>
                <w:lang w:val="en-US"/>
              </w:rPr>
              <w:t>r</w:t>
            </w:r>
            <w:r w:rsidRPr="00C926EC">
              <w:rPr>
                <w:rFonts w:ascii="Arial" w:hAnsi="Arial" w:cs="Arial"/>
                <w:sz w:val="16"/>
                <w:szCs w:val="16"/>
                <w:vertAlign w:val="subscript"/>
                <w:lang w:val="en-US"/>
              </w:rPr>
              <w:t>d</w:t>
            </w:r>
            <w:proofErr w:type="spellEnd"/>
          </w:p>
        </w:tc>
        <w:tc>
          <w:tcPr>
            <w:tcW w:w="0" w:type="auto"/>
            <w:vAlign w:val="center"/>
          </w:tcPr>
          <w:p w14:paraId="5023821B"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Yes</w:t>
            </w:r>
          </w:p>
        </w:tc>
        <w:tc>
          <w:tcPr>
            <w:tcW w:w="0" w:type="auto"/>
            <w:vAlign w:val="center"/>
          </w:tcPr>
          <w:p w14:paraId="7D43226B" w14:textId="77777777" w:rsidR="0095377F" w:rsidRPr="00C926EC" w:rsidRDefault="0095377F" w:rsidP="007D5E1F">
            <w:pPr>
              <w:rPr>
                <w:rFonts w:ascii="Arial" w:hAnsi="Arial" w:cs="Arial"/>
                <w:sz w:val="16"/>
                <w:szCs w:val="16"/>
                <w:lang w:val="en-US"/>
              </w:rPr>
            </w:pPr>
            <w:proofErr w:type="spellStart"/>
            <w:r w:rsidRPr="00C926EC">
              <w:rPr>
                <w:rFonts w:ascii="Arial" w:hAnsi="Arial" w:cs="Arial"/>
                <w:sz w:val="16"/>
                <w:szCs w:val="16"/>
                <w:lang w:val="en-US"/>
              </w:rPr>
              <w:t>r</w:t>
            </w:r>
            <w:r w:rsidRPr="00C926EC">
              <w:rPr>
                <w:rFonts w:ascii="Arial" w:hAnsi="Arial" w:cs="Arial"/>
                <w:sz w:val="16"/>
                <w:szCs w:val="16"/>
                <w:vertAlign w:val="subscript"/>
                <w:lang w:val="en-US"/>
              </w:rPr>
              <w:t>d</w:t>
            </w:r>
            <w:proofErr w:type="spellEnd"/>
            <w:r w:rsidRPr="00C926EC">
              <w:rPr>
                <w:rFonts w:ascii="Arial" w:hAnsi="Arial" w:cs="Arial"/>
                <w:sz w:val="16"/>
                <w:szCs w:val="16"/>
                <w:lang w:val="en-US"/>
              </w:rPr>
              <w:t xml:space="preserve"> (</w:t>
            </w:r>
            <w:r w:rsidRPr="00C926EC">
              <w:rPr>
                <w:rFonts w:ascii="Arial" w:hAnsi="Arial" w:cs="Arial"/>
                <w:sz w:val="16"/>
                <w:szCs w:val="16"/>
              </w:rPr>
              <w:t>±1%</w:t>
            </w:r>
            <w:r w:rsidRPr="00C926EC">
              <w:rPr>
                <w:rFonts w:ascii="Arial" w:hAnsi="Arial" w:cs="Arial"/>
                <w:sz w:val="16"/>
                <w:szCs w:val="16"/>
                <w:lang w:val="en-US"/>
              </w:rPr>
              <w:t>)</w:t>
            </w:r>
          </w:p>
        </w:tc>
      </w:tr>
      <w:tr w:rsidR="00C926EC" w:rsidRPr="00C926EC" w14:paraId="732DB2A5" w14:textId="77777777" w:rsidTr="007D5E1F">
        <w:trPr>
          <w:jc w:val="center"/>
        </w:trPr>
        <w:tc>
          <w:tcPr>
            <w:tcW w:w="0" w:type="auto"/>
            <w:tcBorders>
              <w:right w:val="single" w:sz="4" w:space="0" w:color="auto"/>
            </w:tcBorders>
            <w:vAlign w:val="center"/>
          </w:tcPr>
          <w:p w14:paraId="08ED423E" w14:textId="77777777" w:rsidR="0095377F" w:rsidRPr="00C926EC" w:rsidRDefault="0095377F" w:rsidP="007D5E1F">
            <w:pPr>
              <w:jc w:val="center"/>
              <w:rPr>
                <w:rFonts w:ascii="Arial" w:hAnsi="Arial" w:cs="Arial"/>
                <w:b/>
                <w:sz w:val="16"/>
                <w:szCs w:val="16"/>
                <w:lang w:val="en-US"/>
              </w:rPr>
            </w:pPr>
            <w:r w:rsidRPr="00C926EC">
              <w:rPr>
                <w:rFonts w:ascii="Arial" w:hAnsi="Arial" w:cs="Arial"/>
                <w:b/>
                <w:sz w:val="16"/>
                <w:szCs w:val="16"/>
                <w:lang w:val="en-US"/>
              </w:rPr>
              <w:t>63</w:t>
            </w:r>
          </w:p>
        </w:tc>
        <w:tc>
          <w:tcPr>
            <w:tcW w:w="0" w:type="auto"/>
            <w:tcBorders>
              <w:left w:val="single" w:sz="4" w:space="0" w:color="auto"/>
            </w:tcBorders>
            <w:vAlign w:val="center"/>
          </w:tcPr>
          <w:p w14:paraId="11130138"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182</w:t>
            </w:r>
          </w:p>
        </w:tc>
        <w:tc>
          <w:tcPr>
            <w:tcW w:w="0" w:type="auto"/>
            <w:vAlign w:val="center"/>
          </w:tcPr>
          <w:p w14:paraId="212279C4"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0</w:t>
            </w:r>
          </w:p>
        </w:tc>
        <w:tc>
          <w:tcPr>
            <w:tcW w:w="0" w:type="auto"/>
            <w:vAlign w:val="center"/>
          </w:tcPr>
          <w:p w14:paraId="42A6256D"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 xml:space="preserve">Influence of </w:t>
            </w:r>
            <w:proofErr w:type="spellStart"/>
            <w:r w:rsidRPr="00C926EC">
              <w:rPr>
                <w:rFonts w:ascii="Arial" w:hAnsi="Arial" w:cs="Arial"/>
                <w:sz w:val="16"/>
                <w:szCs w:val="16"/>
                <w:lang w:val="en-US"/>
              </w:rPr>
              <w:t>r</w:t>
            </w:r>
            <w:r w:rsidRPr="00C926EC">
              <w:rPr>
                <w:rFonts w:ascii="Arial" w:hAnsi="Arial" w:cs="Arial"/>
                <w:sz w:val="16"/>
                <w:szCs w:val="16"/>
                <w:vertAlign w:val="subscript"/>
                <w:lang w:val="en-US"/>
              </w:rPr>
              <w:t>int</w:t>
            </w:r>
            <w:proofErr w:type="spellEnd"/>
          </w:p>
        </w:tc>
        <w:tc>
          <w:tcPr>
            <w:tcW w:w="0" w:type="auto"/>
            <w:vAlign w:val="center"/>
          </w:tcPr>
          <w:p w14:paraId="7AF69C8A"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Yes</w:t>
            </w:r>
          </w:p>
        </w:tc>
        <w:tc>
          <w:tcPr>
            <w:tcW w:w="0" w:type="auto"/>
            <w:vAlign w:val="center"/>
          </w:tcPr>
          <w:p w14:paraId="61E04115" w14:textId="77777777" w:rsidR="0095377F" w:rsidRPr="00C926EC" w:rsidRDefault="0095377F" w:rsidP="007D5E1F">
            <w:pPr>
              <w:rPr>
                <w:rFonts w:ascii="Arial" w:hAnsi="Arial" w:cs="Arial"/>
                <w:sz w:val="16"/>
                <w:szCs w:val="16"/>
                <w:lang w:val="en-US"/>
              </w:rPr>
            </w:pPr>
            <w:proofErr w:type="spellStart"/>
            <w:r w:rsidRPr="00C926EC">
              <w:rPr>
                <w:rFonts w:ascii="Arial" w:hAnsi="Arial" w:cs="Arial"/>
                <w:sz w:val="16"/>
                <w:szCs w:val="16"/>
                <w:lang w:val="en-US"/>
              </w:rPr>
              <w:t>r</w:t>
            </w:r>
            <w:r w:rsidRPr="00C926EC">
              <w:rPr>
                <w:rFonts w:ascii="Arial" w:hAnsi="Arial" w:cs="Arial"/>
                <w:sz w:val="16"/>
                <w:szCs w:val="16"/>
                <w:vertAlign w:val="subscript"/>
                <w:lang w:val="en-US"/>
              </w:rPr>
              <w:t>iint</w:t>
            </w:r>
            <w:proofErr w:type="spellEnd"/>
            <w:r w:rsidRPr="00C926EC">
              <w:rPr>
                <w:rFonts w:ascii="Arial" w:hAnsi="Arial" w:cs="Arial"/>
                <w:sz w:val="16"/>
                <w:szCs w:val="16"/>
                <w:lang w:val="en-US"/>
              </w:rPr>
              <w:t xml:space="preserve"> (</w:t>
            </w:r>
            <w:r w:rsidRPr="00C926EC">
              <w:rPr>
                <w:rFonts w:ascii="Arial" w:hAnsi="Arial" w:cs="Arial"/>
                <w:sz w:val="16"/>
                <w:szCs w:val="16"/>
              </w:rPr>
              <w:t>±3%</w:t>
            </w:r>
            <w:r w:rsidRPr="00C926EC">
              <w:rPr>
                <w:rFonts w:ascii="Arial" w:hAnsi="Arial" w:cs="Arial"/>
                <w:sz w:val="16"/>
                <w:szCs w:val="16"/>
                <w:lang w:val="en-US"/>
              </w:rPr>
              <w:t>)</w:t>
            </w:r>
          </w:p>
        </w:tc>
      </w:tr>
      <w:tr w:rsidR="00C926EC" w:rsidRPr="00C926EC" w14:paraId="2EE3824D" w14:textId="77777777" w:rsidTr="007D5E1F">
        <w:trPr>
          <w:jc w:val="center"/>
        </w:trPr>
        <w:tc>
          <w:tcPr>
            <w:tcW w:w="0" w:type="auto"/>
            <w:tcBorders>
              <w:right w:val="single" w:sz="4" w:space="0" w:color="auto"/>
            </w:tcBorders>
            <w:vAlign w:val="center"/>
          </w:tcPr>
          <w:p w14:paraId="3B2B52FC" w14:textId="77777777" w:rsidR="0095377F" w:rsidRPr="00C926EC" w:rsidRDefault="0095377F" w:rsidP="007D5E1F">
            <w:pPr>
              <w:jc w:val="center"/>
              <w:rPr>
                <w:rFonts w:ascii="Arial" w:hAnsi="Arial" w:cs="Arial"/>
                <w:b/>
                <w:sz w:val="16"/>
                <w:szCs w:val="16"/>
                <w:lang w:val="en-US"/>
              </w:rPr>
            </w:pPr>
            <w:r w:rsidRPr="00C926EC">
              <w:rPr>
                <w:rFonts w:ascii="Arial" w:hAnsi="Arial" w:cs="Arial"/>
                <w:b/>
                <w:sz w:val="16"/>
                <w:szCs w:val="16"/>
                <w:lang w:val="en-US"/>
              </w:rPr>
              <w:t>64</w:t>
            </w:r>
          </w:p>
        </w:tc>
        <w:tc>
          <w:tcPr>
            <w:tcW w:w="0" w:type="auto"/>
            <w:tcBorders>
              <w:left w:val="single" w:sz="4" w:space="0" w:color="auto"/>
            </w:tcBorders>
            <w:vAlign w:val="center"/>
          </w:tcPr>
          <w:p w14:paraId="081B6EE2"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182</w:t>
            </w:r>
          </w:p>
        </w:tc>
        <w:tc>
          <w:tcPr>
            <w:tcW w:w="0" w:type="auto"/>
            <w:vAlign w:val="center"/>
          </w:tcPr>
          <w:p w14:paraId="1F7985B5"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0</w:t>
            </w:r>
          </w:p>
        </w:tc>
        <w:tc>
          <w:tcPr>
            <w:tcW w:w="0" w:type="auto"/>
            <w:vAlign w:val="center"/>
          </w:tcPr>
          <w:p w14:paraId="140B2DAC"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Influence of M&amp;O</w:t>
            </w:r>
          </w:p>
        </w:tc>
        <w:tc>
          <w:tcPr>
            <w:tcW w:w="0" w:type="auto"/>
            <w:vAlign w:val="center"/>
          </w:tcPr>
          <w:p w14:paraId="0BE3ECD0"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Yes</w:t>
            </w:r>
          </w:p>
        </w:tc>
        <w:tc>
          <w:tcPr>
            <w:tcW w:w="0" w:type="auto"/>
            <w:vAlign w:val="center"/>
          </w:tcPr>
          <w:p w14:paraId="4200AC6C"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M&amp;O (</w:t>
            </w:r>
            <w:r w:rsidRPr="00C926EC">
              <w:rPr>
                <w:rFonts w:ascii="Arial" w:hAnsi="Arial" w:cs="Arial"/>
                <w:sz w:val="16"/>
                <w:szCs w:val="16"/>
              </w:rPr>
              <w:t>±1%</w:t>
            </w:r>
            <w:r w:rsidRPr="00C926EC">
              <w:rPr>
                <w:rFonts w:ascii="Arial" w:hAnsi="Arial" w:cs="Arial"/>
                <w:sz w:val="16"/>
                <w:szCs w:val="16"/>
                <w:lang w:val="en-US"/>
              </w:rPr>
              <w:t>)</w:t>
            </w:r>
          </w:p>
        </w:tc>
      </w:tr>
      <w:tr w:rsidR="00C926EC" w:rsidRPr="00C926EC" w14:paraId="23E9D6AF" w14:textId="77777777" w:rsidTr="007D5E1F">
        <w:trPr>
          <w:jc w:val="center"/>
        </w:trPr>
        <w:tc>
          <w:tcPr>
            <w:tcW w:w="0" w:type="auto"/>
            <w:tcBorders>
              <w:right w:val="single" w:sz="4" w:space="0" w:color="auto"/>
            </w:tcBorders>
            <w:vAlign w:val="center"/>
          </w:tcPr>
          <w:p w14:paraId="690AA05B" w14:textId="77777777" w:rsidR="0095377F" w:rsidRPr="00C926EC" w:rsidRDefault="0095377F" w:rsidP="007D5E1F">
            <w:pPr>
              <w:jc w:val="center"/>
              <w:rPr>
                <w:rFonts w:ascii="Arial" w:hAnsi="Arial" w:cs="Arial"/>
                <w:b/>
                <w:sz w:val="16"/>
                <w:szCs w:val="16"/>
                <w:lang w:val="en-US"/>
              </w:rPr>
            </w:pPr>
            <w:r w:rsidRPr="00C926EC">
              <w:rPr>
                <w:rFonts w:ascii="Arial" w:hAnsi="Arial" w:cs="Arial"/>
                <w:b/>
                <w:sz w:val="16"/>
                <w:szCs w:val="16"/>
                <w:lang w:val="en-US"/>
              </w:rPr>
              <w:t>65</w:t>
            </w:r>
          </w:p>
        </w:tc>
        <w:tc>
          <w:tcPr>
            <w:tcW w:w="0" w:type="auto"/>
            <w:tcBorders>
              <w:left w:val="single" w:sz="4" w:space="0" w:color="auto"/>
            </w:tcBorders>
            <w:vAlign w:val="center"/>
          </w:tcPr>
          <w:p w14:paraId="57B6C1D6"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182</w:t>
            </w:r>
          </w:p>
        </w:tc>
        <w:tc>
          <w:tcPr>
            <w:tcW w:w="0" w:type="auto"/>
            <w:vAlign w:val="center"/>
          </w:tcPr>
          <w:p w14:paraId="19371579"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0</w:t>
            </w:r>
          </w:p>
        </w:tc>
        <w:tc>
          <w:tcPr>
            <w:tcW w:w="0" w:type="auto"/>
            <w:vAlign w:val="center"/>
          </w:tcPr>
          <w:p w14:paraId="713F778E"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 xml:space="preserve">Influence of </w:t>
            </w:r>
            <w:proofErr w:type="spellStart"/>
            <w:r w:rsidRPr="00C926EC">
              <w:rPr>
                <w:rFonts w:ascii="Arial" w:hAnsi="Arial" w:cs="Arial"/>
                <w:sz w:val="16"/>
                <w:szCs w:val="16"/>
                <w:lang w:val="en-US"/>
              </w:rPr>
              <w:t>C</w:t>
            </w:r>
            <w:r w:rsidRPr="00C926EC">
              <w:rPr>
                <w:rFonts w:ascii="Arial" w:hAnsi="Arial" w:cs="Arial"/>
                <w:sz w:val="16"/>
                <w:szCs w:val="16"/>
                <w:vertAlign w:val="subscript"/>
                <w:lang w:val="en-US"/>
              </w:rPr>
              <w:t>eu</w:t>
            </w:r>
            <w:proofErr w:type="spellEnd"/>
          </w:p>
        </w:tc>
        <w:tc>
          <w:tcPr>
            <w:tcW w:w="0" w:type="auto"/>
            <w:vAlign w:val="center"/>
          </w:tcPr>
          <w:p w14:paraId="2ADA700F"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Yes</w:t>
            </w:r>
          </w:p>
        </w:tc>
        <w:tc>
          <w:tcPr>
            <w:tcW w:w="0" w:type="auto"/>
            <w:vAlign w:val="center"/>
          </w:tcPr>
          <w:p w14:paraId="1909B177" w14:textId="77777777" w:rsidR="0095377F" w:rsidRPr="00C926EC" w:rsidRDefault="0095377F" w:rsidP="007D5E1F">
            <w:pPr>
              <w:rPr>
                <w:rFonts w:ascii="Arial" w:hAnsi="Arial" w:cs="Arial"/>
                <w:sz w:val="16"/>
                <w:szCs w:val="16"/>
                <w:lang w:val="en-US"/>
              </w:rPr>
            </w:pPr>
            <w:proofErr w:type="spellStart"/>
            <w:r w:rsidRPr="00C926EC">
              <w:rPr>
                <w:rFonts w:ascii="Arial" w:hAnsi="Arial" w:cs="Arial"/>
                <w:sz w:val="16"/>
                <w:szCs w:val="16"/>
                <w:lang w:val="en-US"/>
              </w:rPr>
              <w:t>C</w:t>
            </w:r>
            <w:r w:rsidRPr="00C926EC">
              <w:rPr>
                <w:rFonts w:ascii="Arial" w:hAnsi="Arial" w:cs="Arial"/>
                <w:sz w:val="16"/>
                <w:szCs w:val="16"/>
                <w:vertAlign w:val="subscript"/>
                <w:lang w:val="en-US"/>
              </w:rPr>
              <w:t>eu</w:t>
            </w:r>
            <w:proofErr w:type="spellEnd"/>
            <w:r w:rsidRPr="00C926EC">
              <w:rPr>
                <w:rFonts w:ascii="Arial" w:hAnsi="Arial" w:cs="Arial"/>
                <w:sz w:val="16"/>
                <w:szCs w:val="16"/>
                <w:lang w:val="en-US"/>
              </w:rPr>
              <w:t xml:space="preserve"> (</w:t>
            </w:r>
            <w:r w:rsidRPr="00C926EC">
              <w:rPr>
                <w:rFonts w:ascii="Arial" w:hAnsi="Arial" w:cs="Arial"/>
                <w:sz w:val="16"/>
                <w:szCs w:val="16"/>
              </w:rPr>
              <w:t>±10%</w:t>
            </w:r>
            <w:r w:rsidRPr="00C926EC">
              <w:rPr>
                <w:rFonts w:ascii="Arial" w:hAnsi="Arial" w:cs="Arial"/>
                <w:sz w:val="16"/>
                <w:szCs w:val="16"/>
                <w:lang w:val="en-US"/>
              </w:rPr>
              <w:t>)</w:t>
            </w:r>
          </w:p>
        </w:tc>
      </w:tr>
      <w:tr w:rsidR="00C926EC" w:rsidRPr="00C926EC" w14:paraId="1C5D5842" w14:textId="77777777" w:rsidTr="007D5E1F">
        <w:trPr>
          <w:jc w:val="center"/>
        </w:trPr>
        <w:tc>
          <w:tcPr>
            <w:tcW w:w="0" w:type="auto"/>
            <w:tcBorders>
              <w:right w:val="single" w:sz="4" w:space="0" w:color="auto"/>
            </w:tcBorders>
            <w:vAlign w:val="center"/>
          </w:tcPr>
          <w:p w14:paraId="5CDDB0BE" w14:textId="77777777" w:rsidR="0095377F" w:rsidRPr="00C926EC" w:rsidRDefault="0095377F" w:rsidP="007D5E1F">
            <w:pPr>
              <w:jc w:val="center"/>
              <w:rPr>
                <w:rFonts w:ascii="Arial" w:hAnsi="Arial" w:cs="Arial"/>
                <w:b/>
                <w:sz w:val="16"/>
                <w:szCs w:val="16"/>
                <w:lang w:val="en-US"/>
              </w:rPr>
            </w:pPr>
            <w:r w:rsidRPr="00C926EC">
              <w:rPr>
                <w:rFonts w:ascii="Arial" w:hAnsi="Arial" w:cs="Arial"/>
                <w:b/>
                <w:sz w:val="16"/>
                <w:szCs w:val="16"/>
                <w:lang w:val="en-US"/>
              </w:rPr>
              <w:t>66</w:t>
            </w:r>
          </w:p>
        </w:tc>
        <w:tc>
          <w:tcPr>
            <w:tcW w:w="0" w:type="auto"/>
            <w:tcBorders>
              <w:left w:val="single" w:sz="4" w:space="0" w:color="auto"/>
            </w:tcBorders>
            <w:vAlign w:val="center"/>
          </w:tcPr>
          <w:p w14:paraId="3FD25991"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182</w:t>
            </w:r>
          </w:p>
        </w:tc>
        <w:tc>
          <w:tcPr>
            <w:tcW w:w="0" w:type="auto"/>
            <w:vAlign w:val="center"/>
          </w:tcPr>
          <w:p w14:paraId="03C2E2C6"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0</w:t>
            </w:r>
          </w:p>
        </w:tc>
        <w:tc>
          <w:tcPr>
            <w:tcW w:w="0" w:type="auto"/>
            <w:vAlign w:val="center"/>
          </w:tcPr>
          <w:p w14:paraId="66828A43"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Influence of C</w:t>
            </w:r>
            <w:r w:rsidRPr="00C926EC">
              <w:rPr>
                <w:rFonts w:ascii="Arial" w:hAnsi="Arial" w:cs="Arial"/>
                <w:sz w:val="16"/>
                <w:szCs w:val="16"/>
                <w:vertAlign w:val="subscript"/>
                <w:lang w:val="en-US"/>
              </w:rPr>
              <w:t>i</w:t>
            </w:r>
          </w:p>
        </w:tc>
        <w:tc>
          <w:tcPr>
            <w:tcW w:w="0" w:type="auto"/>
            <w:vAlign w:val="center"/>
          </w:tcPr>
          <w:p w14:paraId="38FF1F5B"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Yes</w:t>
            </w:r>
          </w:p>
        </w:tc>
        <w:tc>
          <w:tcPr>
            <w:tcW w:w="0" w:type="auto"/>
            <w:vAlign w:val="center"/>
          </w:tcPr>
          <w:p w14:paraId="2E62B8EE" w14:textId="77777777" w:rsidR="0095377F" w:rsidRPr="00C926EC" w:rsidRDefault="0095377F" w:rsidP="007D5E1F">
            <w:pPr>
              <w:rPr>
                <w:rFonts w:ascii="Arial" w:hAnsi="Arial" w:cs="Arial"/>
                <w:sz w:val="16"/>
                <w:szCs w:val="16"/>
                <w:lang w:val="en-US"/>
              </w:rPr>
            </w:pPr>
            <w:r w:rsidRPr="00C926EC">
              <w:rPr>
                <w:rFonts w:ascii="Arial" w:hAnsi="Arial" w:cs="Arial"/>
                <w:sz w:val="16"/>
                <w:szCs w:val="16"/>
                <w:lang w:val="en-US"/>
              </w:rPr>
              <w:t>C</w:t>
            </w:r>
            <w:r w:rsidRPr="00C926EC">
              <w:rPr>
                <w:rFonts w:ascii="Arial" w:hAnsi="Arial" w:cs="Arial"/>
                <w:sz w:val="16"/>
                <w:szCs w:val="16"/>
                <w:vertAlign w:val="subscript"/>
                <w:lang w:val="en-US"/>
              </w:rPr>
              <w:t>i</w:t>
            </w:r>
            <w:r w:rsidRPr="00C926EC">
              <w:rPr>
                <w:rFonts w:ascii="Arial" w:hAnsi="Arial" w:cs="Arial"/>
                <w:sz w:val="16"/>
                <w:szCs w:val="16"/>
                <w:lang w:val="en-US"/>
              </w:rPr>
              <w:t xml:space="preserve"> (</w:t>
            </w:r>
            <w:r w:rsidRPr="00C926EC">
              <w:rPr>
                <w:rFonts w:ascii="Arial" w:hAnsi="Arial" w:cs="Arial"/>
                <w:sz w:val="16"/>
                <w:szCs w:val="16"/>
              </w:rPr>
              <w:t>±0.5%</w:t>
            </w:r>
            <w:r w:rsidRPr="00C926EC">
              <w:rPr>
                <w:rFonts w:ascii="Arial" w:hAnsi="Arial" w:cs="Arial"/>
                <w:sz w:val="16"/>
                <w:szCs w:val="16"/>
                <w:lang w:val="en-US"/>
              </w:rPr>
              <w:t>)</w:t>
            </w:r>
          </w:p>
        </w:tc>
      </w:tr>
      <w:tr w:rsidR="0095377F" w:rsidRPr="00C926EC" w14:paraId="234608E0" w14:textId="77777777" w:rsidTr="007D5E1F">
        <w:trPr>
          <w:jc w:val="center"/>
        </w:trPr>
        <w:tc>
          <w:tcPr>
            <w:tcW w:w="0" w:type="auto"/>
            <w:tcBorders>
              <w:right w:val="single" w:sz="4" w:space="0" w:color="auto"/>
            </w:tcBorders>
            <w:vAlign w:val="center"/>
          </w:tcPr>
          <w:p w14:paraId="440F8EA1" w14:textId="77777777" w:rsidR="0095377F" w:rsidRPr="00C926EC" w:rsidRDefault="0095377F" w:rsidP="007D5E1F">
            <w:pPr>
              <w:rPr>
                <w:rFonts w:ascii="Arial" w:hAnsi="Arial" w:cs="Arial"/>
                <w:b/>
                <w:sz w:val="16"/>
                <w:szCs w:val="16"/>
                <w:lang w:val="en-US"/>
              </w:rPr>
            </w:pPr>
          </w:p>
        </w:tc>
        <w:tc>
          <w:tcPr>
            <w:tcW w:w="0" w:type="auto"/>
            <w:tcBorders>
              <w:left w:val="single" w:sz="4" w:space="0" w:color="auto"/>
            </w:tcBorders>
            <w:vAlign w:val="center"/>
          </w:tcPr>
          <w:p w14:paraId="23DF883D" w14:textId="77777777" w:rsidR="0095377F" w:rsidRPr="00C926EC" w:rsidRDefault="0095377F" w:rsidP="007D5E1F">
            <w:pPr>
              <w:rPr>
                <w:rFonts w:ascii="Arial" w:hAnsi="Arial" w:cs="Arial"/>
                <w:sz w:val="16"/>
                <w:szCs w:val="16"/>
                <w:lang w:val="en-US"/>
              </w:rPr>
            </w:pPr>
          </w:p>
        </w:tc>
        <w:tc>
          <w:tcPr>
            <w:tcW w:w="0" w:type="auto"/>
            <w:vAlign w:val="center"/>
          </w:tcPr>
          <w:p w14:paraId="517A4627" w14:textId="77777777" w:rsidR="0095377F" w:rsidRPr="00C926EC" w:rsidRDefault="0095377F" w:rsidP="007D5E1F">
            <w:pPr>
              <w:rPr>
                <w:rFonts w:ascii="Arial" w:hAnsi="Arial" w:cs="Arial"/>
                <w:sz w:val="16"/>
                <w:szCs w:val="16"/>
                <w:lang w:val="en-US"/>
              </w:rPr>
            </w:pPr>
          </w:p>
        </w:tc>
        <w:tc>
          <w:tcPr>
            <w:tcW w:w="0" w:type="auto"/>
            <w:vAlign w:val="center"/>
          </w:tcPr>
          <w:p w14:paraId="5AE236A2" w14:textId="77777777" w:rsidR="0095377F" w:rsidRPr="00C926EC" w:rsidRDefault="0095377F" w:rsidP="007D5E1F">
            <w:pPr>
              <w:rPr>
                <w:rFonts w:ascii="Arial" w:hAnsi="Arial" w:cs="Arial"/>
                <w:sz w:val="16"/>
                <w:szCs w:val="16"/>
                <w:lang w:val="en-US"/>
              </w:rPr>
            </w:pPr>
          </w:p>
        </w:tc>
        <w:tc>
          <w:tcPr>
            <w:tcW w:w="0" w:type="auto"/>
            <w:vAlign w:val="center"/>
          </w:tcPr>
          <w:p w14:paraId="3356D758" w14:textId="77777777" w:rsidR="0095377F" w:rsidRPr="00C926EC" w:rsidRDefault="0095377F" w:rsidP="007D5E1F">
            <w:pPr>
              <w:rPr>
                <w:rFonts w:ascii="Arial" w:hAnsi="Arial" w:cs="Arial"/>
                <w:sz w:val="16"/>
                <w:szCs w:val="16"/>
                <w:lang w:val="en-US"/>
              </w:rPr>
            </w:pPr>
          </w:p>
        </w:tc>
        <w:tc>
          <w:tcPr>
            <w:tcW w:w="0" w:type="auto"/>
            <w:vAlign w:val="center"/>
          </w:tcPr>
          <w:p w14:paraId="2590136D" w14:textId="77777777" w:rsidR="0095377F" w:rsidRPr="00C926EC" w:rsidRDefault="0095377F" w:rsidP="007D5E1F">
            <w:pPr>
              <w:rPr>
                <w:rFonts w:ascii="Arial" w:hAnsi="Arial" w:cs="Arial"/>
                <w:i/>
                <w:sz w:val="16"/>
                <w:szCs w:val="16"/>
                <w:lang w:val="en-US"/>
              </w:rPr>
            </w:pPr>
          </w:p>
        </w:tc>
      </w:tr>
    </w:tbl>
    <w:p w14:paraId="50CF4FC4" w14:textId="77777777" w:rsidR="0095377F" w:rsidRPr="00C926EC" w:rsidRDefault="0095377F" w:rsidP="0095377F">
      <w:pPr>
        <w:spacing w:line="480" w:lineRule="auto"/>
        <w:jc w:val="both"/>
        <w:rPr>
          <w:rFonts w:ascii="Arial" w:hAnsi="Arial" w:cs="Arial"/>
          <w:lang w:val="en-GB"/>
        </w:rPr>
      </w:pPr>
    </w:p>
    <w:p w14:paraId="5055E670" w14:textId="3819AB01" w:rsidR="0095377F" w:rsidRPr="00C926EC" w:rsidRDefault="0095377F" w:rsidP="0065182A">
      <w:pPr>
        <w:spacing w:line="360" w:lineRule="auto"/>
        <w:jc w:val="both"/>
        <w:rPr>
          <w:rFonts w:ascii="Arial" w:hAnsi="Arial" w:cs="Arial"/>
          <w:sz w:val="24"/>
          <w:szCs w:val="24"/>
          <w:lang w:val="en-US"/>
        </w:rPr>
      </w:pPr>
    </w:p>
    <w:p w14:paraId="633591BC" w14:textId="77777777" w:rsidR="0095377F" w:rsidRPr="00C926EC" w:rsidRDefault="0095377F" w:rsidP="0095377F">
      <w:pPr>
        <w:spacing w:line="480" w:lineRule="auto"/>
        <w:jc w:val="center"/>
        <w:rPr>
          <w:rFonts w:ascii="Arial" w:hAnsi="Arial" w:cs="Arial"/>
          <w:sz w:val="24"/>
          <w:szCs w:val="24"/>
          <w:lang w:val="en-GB"/>
        </w:rPr>
      </w:pPr>
      <w:r w:rsidRPr="00C926EC">
        <w:rPr>
          <w:rFonts w:ascii="Arial" w:hAnsi="Arial" w:cs="Arial"/>
          <w:sz w:val="24"/>
          <w:szCs w:val="24"/>
          <w:lang w:val="en-GB"/>
        </w:rPr>
        <w:t xml:space="preserve">Table 3. DPBT (years) evolution with feed-in tariffs subsidies. Only the feed-in tariffs for which positive values were obtained are included.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418"/>
        <w:gridCol w:w="1134"/>
        <w:gridCol w:w="1701"/>
        <w:gridCol w:w="1559"/>
        <w:gridCol w:w="1558"/>
      </w:tblGrid>
      <w:tr w:rsidR="00C926EC" w:rsidRPr="00C926EC" w14:paraId="3706A05E" w14:textId="77777777" w:rsidTr="007D5E1F">
        <w:trPr>
          <w:trHeight w:val="672"/>
        </w:trPr>
        <w:tc>
          <w:tcPr>
            <w:tcW w:w="1134" w:type="dxa"/>
            <w:tcBorders>
              <w:top w:val="single" w:sz="4" w:space="0" w:color="auto"/>
              <w:bottom w:val="single" w:sz="4" w:space="0" w:color="auto"/>
            </w:tcBorders>
            <w:vAlign w:val="center"/>
          </w:tcPr>
          <w:p w14:paraId="1924C75F" w14:textId="77777777" w:rsidR="0095377F" w:rsidRPr="00C926EC" w:rsidRDefault="0095377F" w:rsidP="007D5E1F">
            <w:pPr>
              <w:jc w:val="center"/>
              <w:rPr>
                <w:rFonts w:ascii="Arial" w:eastAsia="Times New Roman" w:hAnsi="Arial" w:cs="Arial"/>
                <w:sz w:val="18"/>
                <w:szCs w:val="18"/>
                <w:lang w:val="sv-SE" w:eastAsia="sv-SE"/>
              </w:rPr>
            </w:pPr>
            <w:r w:rsidRPr="00C926EC">
              <w:rPr>
                <w:rFonts w:ascii="Arial" w:eastAsia="Times New Roman" w:hAnsi="Arial" w:cs="Arial"/>
                <w:sz w:val="18"/>
                <w:szCs w:val="18"/>
                <w:lang w:val="sv-SE" w:eastAsia="sv-SE"/>
              </w:rPr>
              <w:t>Plant size (m</w:t>
            </w:r>
            <w:r w:rsidRPr="00C926EC">
              <w:rPr>
                <w:rFonts w:ascii="Arial" w:eastAsia="Times New Roman" w:hAnsi="Arial" w:cs="Arial"/>
                <w:sz w:val="18"/>
                <w:szCs w:val="18"/>
                <w:vertAlign w:val="superscript"/>
                <w:lang w:val="sv-SE" w:eastAsia="sv-SE"/>
              </w:rPr>
              <w:t>3</w:t>
            </w:r>
            <w:r w:rsidRPr="00C926EC">
              <w:rPr>
                <w:rFonts w:ascii="Arial" w:eastAsia="Times New Roman" w:hAnsi="Arial" w:cs="Arial"/>
                <w:sz w:val="18"/>
                <w:szCs w:val="18"/>
                <w:lang w:val="sv-SE" w:eastAsia="sv-SE"/>
              </w:rPr>
              <w:t>/h)</w:t>
            </w:r>
          </w:p>
        </w:tc>
        <w:tc>
          <w:tcPr>
            <w:tcW w:w="1418" w:type="dxa"/>
            <w:tcBorders>
              <w:top w:val="single" w:sz="4" w:space="0" w:color="auto"/>
              <w:bottom w:val="single" w:sz="4" w:space="0" w:color="auto"/>
            </w:tcBorders>
            <w:noWrap/>
            <w:vAlign w:val="center"/>
            <w:hideMark/>
          </w:tcPr>
          <w:p w14:paraId="33013478" w14:textId="77777777" w:rsidR="0095377F" w:rsidRPr="00C926EC" w:rsidRDefault="0095377F" w:rsidP="007D5E1F">
            <w:pPr>
              <w:jc w:val="center"/>
              <w:rPr>
                <w:rFonts w:ascii="Arial" w:eastAsia="Times New Roman" w:hAnsi="Arial" w:cs="Arial"/>
                <w:sz w:val="18"/>
                <w:szCs w:val="18"/>
                <w:lang w:val="sv-SE" w:eastAsia="sv-SE"/>
              </w:rPr>
            </w:pPr>
            <w:r w:rsidRPr="00C926EC">
              <w:rPr>
                <w:rFonts w:ascii="Arial" w:eastAsia="Times New Roman" w:hAnsi="Arial" w:cs="Arial"/>
                <w:sz w:val="18"/>
                <w:szCs w:val="18"/>
                <w:lang w:val="sv-SE" w:eastAsia="sv-SE"/>
              </w:rPr>
              <w:t>Feed-in tariffs (€/MWh)</w:t>
            </w:r>
          </w:p>
        </w:tc>
        <w:tc>
          <w:tcPr>
            <w:tcW w:w="1134" w:type="dxa"/>
            <w:tcBorders>
              <w:top w:val="single" w:sz="4" w:space="0" w:color="auto"/>
              <w:bottom w:val="single" w:sz="4" w:space="0" w:color="auto"/>
            </w:tcBorders>
            <w:noWrap/>
            <w:vAlign w:val="center"/>
            <w:hideMark/>
          </w:tcPr>
          <w:p w14:paraId="5046B8D5" w14:textId="77777777" w:rsidR="0095377F" w:rsidRPr="00C926EC" w:rsidRDefault="0095377F" w:rsidP="007D5E1F">
            <w:pPr>
              <w:jc w:val="center"/>
              <w:rPr>
                <w:rFonts w:ascii="Arial" w:eastAsia="Times New Roman" w:hAnsi="Arial" w:cs="Arial"/>
                <w:sz w:val="18"/>
                <w:szCs w:val="18"/>
                <w:lang w:val="sv-SE" w:eastAsia="sv-SE"/>
              </w:rPr>
            </w:pPr>
            <w:r w:rsidRPr="00C926EC">
              <w:rPr>
                <w:rFonts w:ascii="Arial" w:eastAsia="Times New Roman" w:hAnsi="Arial" w:cs="Arial"/>
                <w:sz w:val="18"/>
                <w:szCs w:val="18"/>
                <w:lang w:val="sv-SE" w:eastAsia="sv-SE"/>
              </w:rPr>
              <w:t>DPBT only upgrading</w:t>
            </w:r>
          </w:p>
        </w:tc>
        <w:tc>
          <w:tcPr>
            <w:tcW w:w="1701" w:type="dxa"/>
            <w:tcBorders>
              <w:top w:val="single" w:sz="4" w:space="0" w:color="auto"/>
              <w:bottom w:val="single" w:sz="4" w:space="0" w:color="auto"/>
            </w:tcBorders>
            <w:noWrap/>
            <w:vAlign w:val="center"/>
            <w:hideMark/>
          </w:tcPr>
          <w:p w14:paraId="442DAA08" w14:textId="77777777" w:rsidR="0095377F" w:rsidRPr="00C926EC" w:rsidRDefault="0095377F" w:rsidP="007D5E1F">
            <w:pPr>
              <w:jc w:val="center"/>
              <w:rPr>
                <w:rFonts w:ascii="Arial" w:eastAsia="Times New Roman" w:hAnsi="Arial" w:cs="Arial"/>
                <w:sz w:val="18"/>
                <w:szCs w:val="18"/>
                <w:lang w:val="en-US" w:eastAsia="sv-SE"/>
              </w:rPr>
            </w:pPr>
            <w:r w:rsidRPr="00C926EC">
              <w:rPr>
                <w:rFonts w:ascii="Arial" w:eastAsia="Times New Roman" w:hAnsi="Arial" w:cs="Arial"/>
                <w:sz w:val="18"/>
                <w:szCs w:val="18"/>
                <w:lang w:val="en-US" w:eastAsia="sv-SE"/>
              </w:rPr>
              <w:t>DPBT upgrading + 0,5 kms distribution</w:t>
            </w:r>
          </w:p>
        </w:tc>
        <w:tc>
          <w:tcPr>
            <w:tcW w:w="1559" w:type="dxa"/>
            <w:tcBorders>
              <w:top w:val="single" w:sz="4" w:space="0" w:color="auto"/>
              <w:bottom w:val="single" w:sz="4" w:space="0" w:color="auto"/>
            </w:tcBorders>
            <w:noWrap/>
            <w:vAlign w:val="center"/>
            <w:hideMark/>
          </w:tcPr>
          <w:p w14:paraId="26E0C8E7" w14:textId="77777777" w:rsidR="0095377F" w:rsidRPr="00C926EC" w:rsidRDefault="0095377F" w:rsidP="007D5E1F">
            <w:pPr>
              <w:jc w:val="center"/>
              <w:rPr>
                <w:rFonts w:ascii="Arial" w:eastAsia="Times New Roman" w:hAnsi="Arial" w:cs="Arial"/>
                <w:sz w:val="18"/>
                <w:szCs w:val="18"/>
                <w:lang w:val="sv-SE" w:eastAsia="sv-SE"/>
              </w:rPr>
            </w:pPr>
            <w:r w:rsidRPr="00C926EC">
              <w:rPr>
                <w:rFonts w:ascii="Arial" w:eastAsia="Times New Roman" w:hAnsi="Arial" w:cs="Arial"/>
                <w:sz w:val="18"/>
                <w:szCs w:val="18"/>
                <w:lang w:val="sv-SE" w:eastAsia="sv-SE"/>
              </w:rPr>
              <w:t>DPBT upgrading + 1 kms distribution</w:t>
            </w:r>
          </w:p>
        </w:tc>
        <w:tc>
          <w:tcPr>
            <w:tcW w:w="1558" w:type="dxa"/>
            <w:tcBorders>
              <w:top w:val="single" w:sz="4" w:space="0" w:color="auto"/>
              <w:bottom w:val="single" w:sz="4" w:space="0" w:color="auto"/>
            </w:tcBorders>
            <w:noWrap/>
            <w:vAlign w:val="center"/>
            <w:hideMark/>
          </w:tcPr>
          <w:p w14:paraId="18881126" w14:textId="77777777" w:rsidR="0095377F" w:rsidRPr="00C926EC" w:rsidRDefault="0095377F" w:rsidP="007D5E1F">
            <w:pPr>
              <w:jc w:val="center"/>
              <w:rPr>
                <w:rFonts w:ascii="Arial" w:eastAsia="Times New Roman" w:hAnsi="Arial" w:cs="Arial"/>
                <w:sz w:val="18"/>
                <w:szCs w:val="18"/>
                <w:lang w:val="sv-SE" w:eastAsia="sv-SE"/>
              </w:rPr>
            </w:pPr>
            <w:r w:rsidRPr="00C926EC">
              <w:rPr>
                <w:rFonts w:ascii="Arial" w:eastAsia="Times New Roman" w:hAnsi="Arial" w:cs="Arial"/>
                <w:sz w:val="18"/>
                <w:szCs w:val="18"/>
                <w:lang w:val="sv-SE" w:eastAsia="sv-SE"/>
              </w:rPr>
              <w:t>DPBT upgrading + 2 kms distribution</w:t>
            </w:r>
          </w:p>
        </w:tc>
      </w:tr>
      <w:tr w:rsidR="00C926EC" w:rsidRPr="00C926EC" w14:paraId="302162DC" w14:textId="77777777" w:rsidTr="007D5E1F">
        <w:trPr>
          <w:trHeight w:val="290"/>
        </w:trPr>
        <w:tc>
          <w:tcPr>
            <w:tcW w:w="1134" w:type="dxa"/>
            <w:tcBorders>
              <w:top w:val="single" w:sz="4" w:space="0" w:color="auto"/>
            </w:tcBorders>
            <w:vAlign w:val="center"/>
          </w:tcPr>
          <w:p w14:paraId="14430D85" w14:textId="77777777" w:rsidR="0095377F" w:rsidRPr="00C926EC" w:rsidRDefault="0095377F" w:rsidP="007D5E1F">
            <w:pPr>
              <w:jc w:val="center"/>
              <w:rPr>
                <w:rFonts w:ascii="Arial" w:eastAsia="Times New Roman" w:hAnsi="Arial" w:cs="Arial"/>
                <w:sz w:val="18"/>
                <w:szCs w:val="18"/>
                <w:lang w:val="sv-SE" w:eastAsia="sv-SE"/>
              </w:rPr>
            </w:pPr>
            <w:r w:rsidRPr="00C926EC">
              <w:rPr>
                <w:rFonts w:ascii="Arial" w:eastAsia="Times New Roman" w:hAnsi="Arial" w:cs="Arial"/>
                <w:sz w:val="18"/>
                <w:szCs w:val="18"/>
                <w:lang w:val="sv-SE" w:eastAsia="sv-SE"/>
              </w:rPr>
              <w:lastRenderedPageBreak/>
              <w:t>122</w:t>
            </w:r>
          </w:p>
        </w:tc>
        <w:tc>
          <w:tcPr>
            <w:tcW w:w="1418" w:type="dxa"/>
            <w:tcBorders>
              <w:top w:val="single" w:sz="4" w:space="0" w:color="auto"/>
            </w:tcBorders>
            <w:noWrap/>
            <w:vAlign w:val="center"/>
            <w:hideMark/>
          </w:tcPr>
          <w:p w14:paraId="6B6A52D9" w14:textId="77777777" w:rsidR="0095377F" w:rsidRPr="00C926EC" w:rsidRDefault="0095377F" w:rsidP="007D5E1F">
            <w:pPr>
              <w:jc w:val="center"/>
              <w:rPr>
                <w:rFonts w:ascii="Arial" w:eastAsia="Times New Roman" w:hAnsi="Arial" w:cs="Arial"/>
                <w:sz w:val="18"/>
                <w:szCs w:val="18"/>
                <w:lang w:val="sv-SE" w:eastAsia="sv-SE"/>
              </w:rPr>
            </w:pPr>
            <w:r w:rsidRPr="00C926EC">
              <w:rPr>
                <w:rFonts w:ascii="Arial" w:hAnsi="Arial" w:cs="Arial"/>
                <w:sz w:val="18"/>
                <w:szCs w:val="18"/>
              </w:rPr>
              <w:t>60</w:t>
            </w:r>
          </w:p>
        </w:tc>
        <w:tc>
          <w:tcPr>
            <w:tcW w:w="1134" w:type="dxa"/>
            <w:tcBorders>
              <w:top w:val="single" w:sz="4" w:space="0" w:color="auto"/>
            </w:tcBorders>
            <w:noWrap/>
            <w:vAlign w:val="center"/>
            <w:hideMark/>
          </w:tcPr>
          <w:p w14:paraId="68F93D20" w14:textId="77777777" w:rsidR="0095377F" w:rsidRPr="00C926EC" w:rsidRDefault="0095377F" w:rsidP="007D5E1F">
            <w:pPr>
              <w:jc w:val="center"/>
              <w:rPr>
                <w:rFonts w:ascii="Arial" w:eastAsia="Times New Roman" w:hAnsi="Arial" w:cs="Arial"/>
                <w:sz w:val="18"/>
                <w:szCs w:val="18"/>
                <w:lang w:val="sv-SE" w:eastAsia="sv-SE"/>
              </w:rPr>
            </w:pPr>
            <w:r w:rsidRPr="00C926EC">
              <w:rPr>
                <w:rFonts w:ascii="Arial" w:hAnsi="Arial" w:cs="Arial"/>
                <w:sz w:val="18"/>
                <w:szCs w:val="18"/>
              </w:rPr>
              <w:t>6</w:t>
            </w:r>
          </w:p>
        </w:tc>
        <w:tc>
          <w:tcPr>
            <w:tcW w:w="1701" w:type="dxa"/>
            <w:tcBorders>
              <w:top w:val="single" w:sz="4" w:space="0" w:color="auto"/>
            </w:tcBorders>
            <w:noWrap/>
            <w:vAlign w:val="center"/>
            <w:hideMark/>
          </w:tcPr>
          <w:p w14:paraId="3CAADCDA" w14:textId="77777777" w:rsidR="0095377F" w:rsidRPr="00C926EC" w:rsidRDefault="0095377F" w:rsidP="007D5E1F">
            <w:pPr>
              <w:jc w:val="center"/>
              <w:rPr>
                <w:rFonts w:ascii="Arial" w:eastAsia="Times New Roman" w:hAnsi="Arial" w:cs="Arial"/>
                <w:sz w:val="18"/>
                <w:szCs w:val="18"/>
                <w:lang w:val="sv-SE" w:eastAsia="sv-SE"/>
              </w:rPr>
            </w:pPr>
            <w:r w:rsidRPr="00C926EC">
              <w:rPr>
                <w:rFonts w:ascii="Arial" w:hAnsi="Arial" w:cs="Arial"/>
                <w:sz w:val="18"/>
                <w:szCs w:val="18"/>
              </w:rPr>
              <w:t>12</w:t>
            </w:r>
          </w:p>
        </w:tc>
        <w:tc>
          <w:tcPr>
            <w:tcW w:w="1559" w:type="dxa"/>
            <w:tcBorders>
              <w:top w:val="single" w:sz="4" w:space="0" w:color="auto"/>
            </w:tcBorders>
            <w:noWrap/>
            <w:vAlign w:val="center"/>
            <w:hideMark/>
          </w:tcPr>
          <w:p w14:paraId="01E76413" w14:textId="77777777" w:rsidR="0095377F" w:rsidRPr="00C926EC" w:rsidRDefault="0095377F" w:rsidP="007D5E1F">
            <w:pPr>
              <w:jc w:val="center"/>
              <w:rPr>
                <w:rFonts w:ascii="Arial" w:eastAsia="Times New Roman" w:hAnsi="Arial" w:cs="Arial"/>
                <w:sz w:val="18"/>
                <w:szCs w:val="18"/>
                <w:lang w:val="sv-SE" w:eastAsia="sv-SE"/>
              </w:rPr>
            </w:pPr>
            <w:r w:rsidRPr="00C926EC">
              <w:rPr>
                <w:rFonts w:ascii="Arial" w:hAnsi="Arial" w:cs="Arial"/>
                <w:sz w:val="18"/>
                <w:szCs w:val="18"/>
              </w:rPr>
              <w:t>18</w:t>
            </w:r>
          </w:p>
        </w:tc>
        <w:tc>
          <w:tcPr>
            <w:tcW w:w="1558" w:type="dxa"/>
            <w:tcBorders>
              <w:top w:val="single" w:sz="4" w:space="0" w:color="auto"/>
            </w:tcBorders>
            <w:noWrap/>
            <w:vAlign w:val="center"/>
            <w:hideMark/>
          </w:tcPr>
          <w:p w14:paraId="24F6EE51" w14:textId="77777777" w:rsidR="0095377F" w:rsidRPr="00C926EC" w:rsidRDefault="0095377F" w:rsidP="007D5E1F">
            <w:pPr>
              <w:jc w:val="center"/>
              <w:rPr>
                <w:rFonts w:ascii="Arial" w:eastAsia="Times New Roman" w:hAnsi="Arial" w:cs="Arial"/>
                <w:sz w:val="18"/>
                <w:szCs w:val="18"/>
                <w:lang w:val="sv-SE" w:eastAsia="sv-SE"/>
              </w:rPr>
            </w:pPr>
            <w:r w:rsidRPr="00C926EC">
              <w:rPr>
                <w:rFonts w:ascii="Arial" w:eastAsia="Times New Roman" w:hAnsi="Arial" w:cs="Arial"/>
                <w:sz w:val="18"/>
                <w:szCs w:val="18"/>
                <w:lang w:val="sv-SE" w:eastAsia="sv-SE"/>
              </w:rPr>
              <w:t>-</w:t>
            </w:r>
          </w:p>
        </w:tc>
      </w:tr>
      <w:tr w:rsidR="00C926EC" w:rsidRPr="00C926EC" w14:paraId="08BA1F3F" w14:textId="77777777" w:rsidTr="007D5E1F">
        <w:trPr>
          <w:trHeight w:val="290"/>
        </w:trPr>
        <w:tc>
          <w:tcPr>
            <w:tcW w:w="1134" w:type="dxa"/>
            <w:tcBorders>
              <w:bottom w:val="single" w:sz="4" w:space="0" w:color="auto"/>
            </w:tcBorders>
            <w:vAlign w:val="center"/>
          </w:tcPr>
          <w:p w14:paraId="0BDA5CB4" w14:textId="77777777" w:rsidR="0095377F" w:rsidRPr="00C926EC" w:rsidRDefault="0095377F" w:rsidP="007D5E1F">
            <w:pPr>
              <w:jc w:val="center"/>
              <w:rPr>
                <w:rFonts w:ascii="Arial" w:eastAsia="Times New Roman" w:hAnsi="Arial" w:cs="Arial"/>
                <w:sz w:val="18"/>
                <w:szCs w:val="18"/>
                <w:lang w:val="sv-SE" w:eastAsia="sv-SE"/>
              </w:rPr>
            </w:pPr>
          </w:p>
        </w:tc>
        <w:tc>
          <w:tcPr>
            <w:tcW w:w="1418" w:type="dxa"/>
            <w:tcBorders>
              <w:bottom w:val="single" w:sz="4" w:space="0" w:color="auto"/>
            </w:tcBorders>
            <w:noWrap/>
            <w:vAlign w:val="center"/>
            <w:hideMark/>
          </w:tcPr>
          <w:p w14:paraId="53232381" w14:textId="77777777" w:rsidR="0095377F" w:rsidRPr="00C926EC" w:rsidRDefault="0095377F" w:rsidP="007D5E1F">
            <w:pPr>
              <w:jc w:val="center"/>
              <w:rPr>
                <w:rFonts w:ascii="Arial" w:eastAsia="Times New Roman" w:hAnsi="Arial" w:cs="Arial"/>
                <w:sz w:val="18"/>
                <w:szCs w:val="18"/>
                <w:lang w:val="sv-SE" w:eastAsia="sv-SE"/>
              </w:rPr>
            </w:pPr>
            <w:r w:rsidRPr="00C926EC">
              <w:rPr>
                <w:rFonts w:ascii="Arial" w:hAnsi="Arial" w:cs="Arial"/>
                <w:sz w:val="18"/>
                <w:szCs w:val="18"/>
              </w:rPr>
              <w:t>70</w:t>
            </w:r>
          </w:p>
        </w:tc>
        <w:tc>
          <w:tcPr>
            <w:tcW w:w="1134" w:type="dxa"/>
            <w:tcBorders>
              <w:bottom w:val="single" w:sz="4" w:space="0" w:color="auto"/>
            </w:tcBorders>
            <w:noWrap/>
            <w:vAlign w:val="center"/>
            <w:hideMark/>
          </w:tcPr>
          <w:p w14:paraId="0615FBF6" w14:textId="77777777" w:rsidR="0095377F" w:rsidRPr="00C926EC" w:rsidRDefault="0095377F" w:rsidP="007D5E1F">
            <w:pPr>
              <w:jc w:val="center"/>
              <w:rPr>
                <w:rFonts w:ascii="Arial" w:eastAsia="Times New Roman" w:hAnsi="Arial" w:cs="Arial"/>
                <w:sz w:val="18"/>
                <w:szCs w:val="18"/>
                <w:lang w:val="sv-SE" w:eastAsia="sv-SE"/>
              </w:rPr>
            </w:pPr>
            <w:r w:rsidRPr="00C926EC">
              <w:rPr>
                <w:rFonts w:ascii="Arial" w:hAnsi="Arial" w:cs="Arial"/>
                <w:sz w:val="18"/>
                <w:szCs w:val="18"/>
              </w:rPr>
              <w:t>3</w:t>
            </w:r>
          </w:p>
        </w:tc>
        <w:tc>
          <w:tcPr>
            <w:tcW w:w="1701" w:type="dxa"/>
            <w:tcBorders>
              <w:bottom w:val="single" w:sz="4" w:space="0" w:color="auto"/>
            </w:tcBorders>
            <w:noWrap/>
            <w:vAlign w:val="center"/>
            <w:hideMark/>
          </w:tcPr>
          <w:p w14:paraId="146FB5A8" w14:textId="77777777" w:rsidR="0095377F" w:rsidRPr="00C926EC" w:rsidRDefault="0095377F" w:rsidP="007D5E1F">
            <w:pPr>
              <w:jc w:val="center"/>
              <w:rPr>
                <w:rFonts w:ascii="Arial" w:eastAsia="Times New Roman" w:hAnsi="Arial" w:cs="Arial"/>
                <w:sz w:val="18"/>
                <w:szCs w:val="18"/>
                <w:lang w:val="sv-SE" w:eastAsia="sv-SE"/>
              </w:rPr>
            </w:pPr>
            <w:r w:rsidRPr="00C926EC">
              <w:rPr>
                <w:rFonts w:ascii="Arial" w:hAnsi="Arial" w:cs="Arial"/>
                <w:sz w:val="18"/>
                <w:szCs w:val="18"/>
              </w:rPr>
              <w:t>4</w:t>
            </w:r>
          </w:p>
        </w:tc>
        <w:tc>
          <w:tcPr>
            <w:tcW w:w="1559" w:type="dxa"/>
            <w:tcBorders>
              <w:bottom w:val="single" w:sz="4" w:space="0" w:color="auto"/>
            </w:tcBorders>
            <w:noWrap/>
            <w:vAlign w:val="center"/>
            <w:hideMark/>
          </w:tcPr>
          <w:p w14:paraId="1C98A4BB" w14:textId="77777777" w:rsidR="0095377F" w:rsidRPr="00C926EC" w:rsidRDefault="0095377F" w:rsidP="007D5E1F">
            <w:pPr>
              <w:jc w:val="center"/>
              <w:rPr>
                <w:rFonts w:ascii="Arial" w:eastAsia="Times New Roman" w:hAnsi="Arial" w:cs="Arial"/>
                <w:sz w:val="18"/>
                <w:szCs w:val="18"/>
                <w:lang w:val="sv-SE" w:eastAsia="sv-SE"/>
              </w:rPr>
            </w:pPr>
            <w:r w:rsidRPr="00C926EC">
              <w:rPr>
                <w:rFonts w:ascii="Arial" w:hAnsi="Arial" w:cs="Arial"/>
                <w:sz w:val="18"/>
                <w:szCs w:val="18"/>
              </w:rPr>
              <w:t>6</w:t>
            </w:r>
          </w:p>
        </w:tc>
        <w:tc>
          <w:tcPr>
            <w:tcW w:w="1558" w:type="dxa"/>
            <w:tcBorders>
              <w:bottom w:val="single" w:sz="4" w:space="0" w:color="auto"/>
            </w:tcBorders>
            <w:noWrap/>
            <w:vAlign w:val="center"/>
            <w:hideMark/>
          </w:tcPr>
          <w:p w14:paraId="26F46457" w14:textId="77777777" w:rsidR="0095377F" w:rsidRPr="00C926EC" w:rsidRDefault="0095377F" w:rsidP="007D5E1F">
            <w:pPr>
              <w:jc w:val="center"/>
              <w:rPr>
                <w:rFonts w:ascii="Arial" w:eastAsia="Times New Roman" w:hAnsi="Arial" w:cs="Arial"/>
                <w:sz w:val="18"/>
                <w:szCs w:val="18"/>
                <w:lang w:val="sv-SE" w:eastAsia="sv-SE"/>
              </w:rPr>
            </w:pPr>
            <w:r w:rsidRPr="00C926EC">
              <w:rPr>
                <w:rFonts w:ascii="Arial" w:eastAsia="Times New Roman" w:hAnsi="Arial" w:cs="Arial"/>
                <w:sz w:val="18"/>
                <w:szCs w:val="18"/>
                <w:lang w:val="sv-SE" w:eastAsia="sv-SE"/>
              </w:rPr>
              <w:t>-</w:t>
            </w:r>
          </w:p>
        </w:tc>
      </w:tr>
      <w:tr w:rsidR="00C926EC" w:rsidRPr="00C926EC" w14:paraId="4E8BB9BF" w14:textId="77777777" w:rsidTr="007D5E1F">
        <w:trPr>
          <w:trHeight w:val="290"/>
        </w:trPr>
        <w:tc>
          <w:tcPr>
            <w:tcW w:w="1134" w:type="dxa"/>
            <w:tcBorders>
              <w:top w:val="single" w:sz="4" w:space="0" w:color="auto"/>
              <w:bottom w:val="single" w:sz="4" w:space="0" w:color="auto"/>
            </w:tcBorders>
            <w:vAlign w:val="center"/>
          </w:tcPr>
          <w:p w14:paraId="674D6BDB" w14:textId="77777777" w:rsidR="0095377F" w:rsidRPr="00C926EC" w:rsidRDefault="0095377F" w:rsidP="007D5E1F">
            <w:pPr>
              <w:jc w:val="center"/>
              <w:rPr>
                <w:rFonts w:ascii="Arial" w:eastAsia="Times New Roman" w:hAnsi="Arial" w:cs="Arial"/>
                <w:sz w:val="18"/>
                <w:szCs w:val="18"/>
                <w:lang w:val="sv-SE" w:eastAsia="sv-SE"/>
              </w:rPr>
            </w:pPr>
            <w:r w:rsidRPr="00C926EC">
              <w:rPr>
                <w:rFonts w:ascii="Arial" w:eastAsia="Times New Roman" w:hAnsi="Arial" w:cs="Arial"/>
                <w:sz w:val="18"/>
                <w:szCs w:val="18"/>
                <w:lang w:val="sv-SE" w:eastAsia="sv-SE"/>
              </w:rPr>
              <w:t>94</w:t>
            </w:r>
          </w:p>
        </w:tc>
        <w:tc>
          <w:tcPr>
            <w:tcW w:w="1418" w:type="dxa"/>
            <w:tcBorders>
              <w:top w:val="single" w:sz="4" w:space="0" w:color="auto"/>
              <w:bottom w:val="single" w:sz="4" w:space="0" w:color="auto"/>
            </w:tcBorders>
            <w:noWrap/>
            <w:vAlign w:val="center"/>
            <w:hideMark/>
          </w:tcPr>
          <w:p w14:paraId="202FA4B3" w14:textId="77777777" w:rsidR="0095377F" w:rsidRPr="00C926EC" w:rsidRDefault="0095377F" w:rsidP="007D5E1F">
            <w:pPr>
              <w:jc w:val="center"/>
              <w:rPr>
                <w:rFonts w:ascii="Arial" w:eastAsia="Times New Roman" w:hAnsi="Arial" w:cs="Arial"/>
                <w:sz w:val="18"/>
                <w:szCs w:val="18"/>
                <w:lang w:val="sv-SE" w:eastAsia="sv-SE"/>
              </w:rPr>
            </w:pPr>
            <w:r w:rsidRPr="00C926EC">
              <w:rPr>
                <w:rFonts w:ascii="Arial" w:eastAsia="Times New Roman" w:hAnsi="Arial" w:cs="Arial"/>
                <w:sz w:val="18"/>
                <w:szCs w:val="18"/>
                <w:lang w:val="sv-SE" w:eastAsia="sv-SE"/>
              </w:rPr>
              <w:t>70</w:t>
            </w:r>
          </w:p>
        </w:tc>
        <w:tc>
          <w:tcPr>
            <w:tcW w:w="1134" w:type="dxa"/>
            <w:tcBorders>
              <w:top w:val="single" w:sz="4" w:space="0" w:color="auto"/>
              <w:bottom w:val="single" w:sz="4" w:space="0" w:color="auto"/>
            </w:tcBorders>
            <w:noWrap/>
            <w:vAlign w:val="center"/>
            <w:hideMark/>
          </w:tcPr>
          <w:p w14:paraId="5ECE2F55" w14:textId="77777777" w:rsidR="0095377F" w:rsidRPr="00C926EC" w:rsidRDefault="0095377F" w:rsidP="007D5E1F">
            <w:pPr>
              <w:jc w:val="center"/>
              <w:rPr>
                <w:rFonts w:ascii="Arial" w:eastAsia="Times New Roman" w:hAnsi="Arial" w:cs="Arial"/>
                <w:sz w:val="18"/>
                <w:szCs w:val="18"/>
                <w:lang w:val="sv-SE" w:eastAsia="sv-SE"/>
              </w:rPr>
            </w:pPr>
            <w:r w:rsidRPr="00C926EC">
              <w:rPr>
                <w:rFonts w:ascii="Arial" w:eastAsia="Times New Roman" w:hAnsi="Arial" w:cs="Arial"/>
                <w:sz w:val="18"/>
                <w:szCs w:val="18"/>
                <w:lang w:val="sv-SE" w:eastAsia="sv-SE"/>
              </w:rPr>
              <w:t>11</w:t>
            </w:r>
          </w:p>
        </w:tc>
        <w:tc>
          <w:tcPr>
            <w:tcW w:w="1701" w:type="dxa"/>
            <w:tcBorders>
              <w:top w:val="single" w:sz="4" w:space="0" w:color="auto"/>
              <w:bottom w:val="single" w:sz="4" w:space="0" w:color="auto"/>
            </w:tcBorders>
            <w:noWrap/>
            <w:vAlign w:val="center"/>
            <w:hideMark/>
          </w:tcPr>
          <w:p w14:paraId="26FAB496" w14:textId="77777777" w:rsidR="0095377F" w:rsidRPr="00C926EC" w:rsidRDefault="0095377F" w:rsidP="007D5E1F">
            <w:pPr>
              <w:jc w:val="center"/>
              <w:rPr>
                <w:rFonts w:ascii="Arial" w:eastAsia="Times New Roman" w:hAnsi="Arial" w:cs="Arial"/>
                <w:sz w:val="18"/>
                <w:szCs w:val="18"/>
                <w:lang w:val="sv-SE" w:eastAsia="sv-SE"/>
              </w:rPr>
            </w:pPr>
            <w:r w:rsidRPr="00C926EC">
              <w:rPr>
                <w:rFonts w:ascii="Arial" w:eastAsia="Times New Roman" w:hAnsi="Arial" w:cs="Arial"/>
                <w:sz w:val="18"/>
                <w:szCs w:val="18"/>
                <w:lang w:val="sv-SE" w:eastAsia="sv-SE"/>
              </w:rPr>
              <w:t>19</w:t>
            </w:r>
          </w:p>
        </w:tc>
        <w:tc>
          <w:tcPr>
            <w:tcW w:w="1559" w:type="dxa"/>
            <w:tcBorders>
              <w:top w:val="single" w:sz="4" w:space="0" w:color="auto"/>
              <w:bottom w:val="single" w:sz="4" w:space="0" w:color="auto"/>
            </w:tcBorders>
            <w:noWrap/>
            <w:vAlign w:val="center"/>
            <w:hideMark/>
          </w:tcPr>
          <w:p w14:paraId="7AEE96C3" w14:textId="77777777" w:rsidR="0095377F" w:rsidRPr="00C926EC" w:rsidRDefault="0095377F" w:rsidP="007D5E1F">
            <w:pPr>
              <w:jc w:val="center"/>
              <w:rPr>
                <w:rFonts w:ascii="Arial" w:eastAsia="Times New Roman" w:hAnsi="Arial" w:cs="Arial"/>
                <w:sz w:val="18"/>
                <w:szCs w:val="18"/>
                <w:lang w:val="sv-SE" w:eastAsia="sv-SE"/>
              </w:rPr>
            </w:pPr>
            <w:r w:rsidRPr="00C926EC">
              <w:rPr>
                <w:rFonts w:ascii="Arial" w:eastAsia="Times New Roman" w:hAnsi="Arial" w:cs="Arial"/>
                <w:sz w:val="18"/>
                <w:szCs w:val="18"/>
                <w:lang w:val="sv-SE" w:eastAsia="sv-SE"/>
              </w:rPr>
              <w:t>-</w:t>
            </w:r>
          </w:p>
        </w:tc>
        <w:tc>
          <w:tcPr>
            <w:tcW w:w="1558" w:type="dxa"/>
            <w:tcBorders>
              <w:top w:val="single" w:sz="4" w:space="0" w:color="auto"/>
              <w:bottom w:val="single" w:sz="4" w:space="0" w:color="auto"/>
            </w:tcBorders>
            <w:noWrap/>
            <w:vAlign w:val="center"/>
            <w:hideMark/>
          </w:tcPr>
          <w:p w14:paraId="2E1AA07D" w14:textId="77777777" w:rsidR="0095377F" w:rsidRPr="00C926EC" w:rsidRDefault="0095377F" w:rsidP="007D5E1F">
            <w:pPr>
              <w:jc w:val="center"/>
              <w:rPr>
                <w:rFonts w:ascii="Arial" w:eastAsia="Times New Roman" w:hAnsi="Arial" w:cs="Arial"/>
                <w:sz w:val="18"/>
                <w:szCs w:val="18"/>
                <w:lang w:val="sv-SE" w:eastAsia="sv-SE"/>
              </w:rPr>
            </w:pPr>
            <w:r w:rsidRPr="00C926EC">
              <w:rPr>
                <w:rFonts w:ascii="Arial" w:eastAsia="Times New Roman" w:hAnsi="Arial" w:cs="Arial"/>
                <w:sz w:val="18"/>
                <w:szCs w:val="18"/>
                <w:lang w:val="sv-SE" w:eastAsia="sv-SE"/>
              </w:rPr>
              <w:t>-</w:t>
            </w:r>
          </w:p>
        </w:tc>
      </w:tr>
      <w:tr w:rsidR="00C926EC" w:rsidRPr="00C926EC" w14:paraId="6001530A" w14:textId="77777777" w:rsidTr="007D5E1F">
        <w:trPr>
          <w:trHeight w:val="290"/>
        </w:trPr>
        <w:tc>
          <w:tcPr>
            <w:tcW w:w="1134" w:type="dxa"/>
            <w:tcBorders>
              <w:top w:val="single" w:sz="4" w:space="0" w:color="auto"/>
            </w:tcBorders>
            <w:vAlign w:val="center"/>
          </w:tcPr>
          <w:p w14:paraId="6161A229" w14:textId="77777777" w:rsidR="0095377F" w:rsidRPr="00C926EC" w:rsidRDefault="0095377F" w:rsidP="007D5E1F">
            <w:pPr>
              <w:jc w:val="center"/>
              <w:rPr>
                <w:rFonts w:ascii="Arial" w:eastAsia="Times New Roman" w:hAnsi="Arial" w:cs="Arial"/>
                <w:sz w:val="18"/>
                <w:szCs w:val="18"/>
                <w:lang w:val="sv-SE" w:eastAsia="sv-SE"/>
              </w:rPr>
            </w:pPr>
            <w:r w:rsidRPr="00C926EC">
              <w:rPr>
                <w:rFonts w:ascii="Arial" w:eastAsia="Times New Roman" w:hAnsi="Arial" w:cs="Arial"/>
                <w:sz w:val="18"/>
                <w:szCs w:val="18"/>
                <w:lang w:val="sv-SE" w:eastAsia="sv-SE"/>
              </w:rPr>
              <w:t>182</w:t>
            </w:r>
          </w:p>
        </w:tc>
        <w:tc>
          <w:tcPr>
            <w:tcW w:w="1418" w:type="dxa"/>
            <w:tcBorders>
              <w:top w:val="single" w:sz="4" w:space="0" w:color="auto"/>
            </w:tcBorders>
            <w:noWrap/>
            <w:vAlign w:val="center"/>
            <w:hideMark/>
          </w:tcPr>
          <w:p w14:paraId="7996ED8F" w14:textId="77777777" w:rsidR="0095377F" w:rsidRPr="00C926EC" w:rsidRDefault="0095377F" w:rsidP="007D5E1F">
            <w:pPr>
              <w:jc w:val="center"/>
              <w:rPr>
                <w:rFonts w:ascii="Arial" w:eastAsia="Times New Roman" w:hAnsi="Arial" w:cs="Arial"/>
                <w:sz w:val="18"/>
                <w:szCs w:val="18"/>
                <w:lang w:val="sv-SE" w:eastAsia="sv-SE"/>
              </w:rPr>
            </w:pPr>
            <w:r w:rsidRPr="00C926EC">
              <w:rPr>
                <w:rFonts w:ascii="Arial" w:eastAsia="Times New Roman" w:hAnsi="Arial" w:cs="Arial"/>
                <w:sz w:val="18"/>
                <w:szCs w:val="18"/>
                <w:lang w:val="sv-SE" w:eastAsia="sv-SE"/>
              </w:rPr>
              <w:t>40</w:t>
            </w:r>
          </w:p>
        </w:tc>
        <w:tc>
          <w:tcPr>
            <w:tcW w:w="1134" w:type="dxa"/>
            <w:tcBorders>
              <w:top w:val="single" w:sz="4" w:space="0" w:color="auto"/>
            </w:tcBorders>
            <w:noWrap/>
            <w:vAlign w:val="center"/>
            <w:hideMark/>
          </w:tcPr>
          <w:p w14:paraId="2E249204" w14:textId="77777777" w:rsidR="0095377F" w:rsidRPr="00C926EC" w:rsidRDefault="0095377F" w:rsidP="007D5E1F">
            <w:pPr>
              <w:jc w:val="center"/>
              <w:rPr>
                <w:rFonts w:ascii="Arial" w:eastAsia="Times New Roman" w:hAnsi="Arial" w:cs="Arial"/>
                <w:sz w:val="18"/>
                <w:szCs w:val="18"/>
                <w:lang w:val="sv-SE" w:eastAsia="sv-SE"/>
              </w:rPr>
            </w:pPr>
            <w:r w:rsidRPr="00C926EC">
              <w:rPr>
                <w:rFonts w:ascii="Arial" w:eastAsia="Times New Roman" w:hAnsi="Arial" w:cs="Arial"/>
                <w:sz w:val="18"/>
                <w:szCs w:val="18"/>
                <w:lang w:val="sv-SE" w:eastAsia="sv-SE"/>
              </w:rPr>
              <w:t>12</w:t>
            </w:r>
          </w:p>
        </w:tc>
        <w:tc>
          <w:tcPr>
            <w:tcW w:w="1701" w:type="dxa"/>
            <w:tcBorders>
              <w:top w:val="single" w:sz="4" w:space="0" w:color="auto"/>
            </w:tcBorders>
            <w:noWrap/>
            <w:vAlign w:val="center"/>
            <w:hideMark/>
          </w:tcPr>
          <w:p w14:paraId="4C028216" w14:textId="77777777" w:rsidR="0095377F" w:rsidRPr="00C926EC" w:rsidRDefault="0095377F" w:rsidP="007D5E1F">
            <w:pPr>
              <w:jc w:val="center"/>
              <w:rPr>
                <w:rFonts w:ascii="Arial" w:eastAsia="Times New Roman" w:hAnsi="Arial" w:cs="Arial"/>
                <w:sz w:val="18"/>
                <w:szCs w:val="18"/>
                <w:lang w:val="sv-SE" w:eastAsia="sv-SE"/>
              </w:rPr>
            </w:pPr>
            <w:r w:rsidRPr="00C926EC">
              <w:rPr>
                <w:rFonts w:ascii="Arial" w:eastAsia="Times New Roman" w:hAnsi="Arial" w:cs="Arial"/>
                <w:sz w:val="18"/>
                <w:szCs w:val="18"/>
                <w:lang w:val="sv-SE" w:eastAsia="sv-SE"/>
              </w:rPr>
              <w:t>18</w:t>
            </w:r>
          </w:p>
        </w:tc>
        <w:tc>
          <w:tcPr>
            <w:tcW w:w="1559" w:type="dxa"/>
            <w:tcBorders>
              <w:top w:val="single" w:sz="4" w:space="0" w:color="auto"/>
            </w:tcBorders>
            <w:noWrap/>
            <w:vAlign w:val="center"/>
            <w:hideMark/>
          </w:tcPr>
          <w:p w14:paraId="17456FA5" w14:textId="77777777" w:rsidR="0095377F" w:rsidRPr="00C926EC" w:rsidRDefault="0095377F" w:rsidP="007D5E1F">
            <w:pPr>
              <w:jc w:val="center"/>
              <w:rPr>
                <w:rFonts w:ascii="Arial" w:eastAsia="Times New Roman" w:hAnsi="Arial" w:cs="Arial"/>
                <w:sz w:val="18"/>
                <w:szCs w:val="18"/>
                <w:lang w:val="sv-SE" w:eastAsia="sv-SE"/>
              </w:rPr>
            </w:pPr>
            <w:r w:rsidRPr="00C926EC">
              <w:rPr>
                <w:rFonts w:ascii="Arial" w:eastAsia="Times New Roman" w:hAnsi="Arial" w:cs="Arial"/>
                <w:sz w:val="18"/>
                <w:szCs w:val="18"/>
                <w:lang w:val="sv-SE" w:eastAsia="sv-SE"/>
              </w:rPr>
              <w:t>-</w:t>
            </w:r>
          </w:p>
        </w:tc>
        <w:tc>
          <w:tcPr>
            <w:tcW w:w="1558" w:type="dxa"/>
            <w:tcBorders>
              <w:top w:val="single" w:sz="4" w:space="0" w:color="auto"/>
            </w:tcBorders>
            <w:noWrap/>
            <w:vAlign w:val="center"/>
            <w:hideMark/>
          </w:tcPr>
          <w:p w14:paraId="5DD8C4C3" w14:textId="77777777" w:rsidR="0095377F" w:rsidRPr="00C926EC" w:rsidRDefault="0095377F" w:rsidP="007D5E1F">
            <w:pPr>
              <w:jc w:val="center"/>
              <w:rPr>
                <w:rFonts w:ascii="Arial" w:eastAsia="Times New Roman" w:hAnsi="Arial" w:cs="Arial"/>
                <w:sz w:val="18"/>
                <w:szCs w:val="18"/>
                <w:lang w:val="sv-SE" w:eastAsia="sv-SE"/>
              </w:rPr>
            </w:pPr>
            <w:r w:rsidRPr="00C926EC">
              <w:rPr>
                <w:rFonts w:ascii="Arial" w:eastAsia="Times New Roman" w:hAnsi="Arial" w:cs="Arial"/>
                <w:sz w:val="18"/>
                <w:szCs w:val="18"/>
                <w:lang w:val="sv-SE" w:eastAsia="sv-SE"/>
              </w:rPr>
              <w:t>-</w:t>
            </w:r>
          </w:p>
        </w:tc>
      </w:tr>
      <w:tr w:rsidR="00C926EC" w:rsidRPr="00C926EC" w14:paraId="34F51FFE" w14:textId="77777777" w:rsidTr="007D5E1F">
        <w:trPr>
          <w:trHeight w:val="290"/>
        </w:trPr>
        <w:tc>
          <w:tcPr>
            <w:tcW w:w="1134" w:type="dxa"/>
            <w:vAlign w:val="center"/>
          </w:tcPr>
          <w:p w14:paraId="2DDB9D8C" w14:textId="77777777" w:rsidR="0095377F" w:rsidRPr="00C926EC" w:rsidRDefault="0095377F" w:rsidP="007D5E1F">
            <w:pPr>
              <w:jc w:val="center"/>
              <w:rPr>
                <w:rFonts w:ascii="Arial" w:eastAsia="Times New Roman" w:hAnsi="Arial" w:cs="Arial"/>
                <w:sz w:val="18"/>
                <w:szCs w:val="18"/>
                <w:lang w:val="sv-SE" w:eastAsia="sv-SE"/>
              </w:rPr>
            </w:pPr>
          </w:p>
        </w:tc>
        <w:tc>
          <w:tcPr>
            <w:tcW w:w="1418" w:type="dxa"/>
            <w:noWrap/>
            <w:vAlign w:val="center"/>
            <w:hideMark/>
          </w:tcPr>
          <w:p w14:paraId="5D37C173" w14:textId="77777777" w:rsidR="0095377F" w:rsidRPr="00C926EC" w:rsidRDefault="0095377F" w:rsidP="007D5E1F">
            <w:pPr>
              <w:jc w:val="center"/>
              <w:rPr>
                <w:rFonts w:ascii="Arial" w:eastAsia="Times New Roman" w:hAnsi="Arial" w:cs="Arial"/>
                <w:sz w:val="18"/>
                <w:szCs w:val="18"/>
                <w:lang w:val="sv-SE" w:eastAsia="sv-SE"/>
              </w:rPr>
            </w:pPr>
            <w:r w:rsidRPr="00C926EC">
              <w:rPr>
                <w:rFonts w:ascii="Arial" w:eastAsia="Times New Roman" w:hAnsi="Arial" w:cs="Arial"/>
                <w:sz w:val="18"/>
                <w:szCs w:val="18"/>
                <w:lang w:val="sv-SE" w:eastAsia="sv-SE"/>
              </w:rPr>
              <w:t>50</w:t>
            </w:r>
          </w:p>
        </w:tc>
        <w:tc>
          <w:tcPr>
            <w:tcW w:w="1134" w:type="dxa"/>
            <w:noWrap/>
            <w:vAlign w:val="center"/>
            <w:hideMark/>
          </w:tcPr>
          <w:p w14:paraId="3F053E75" w14:textId="77777777" w:rsidR="0095377F" w:rsidRPr="00C926EC" w:rsidRDefault="0095377F" w:rsidP="007D5E1F">
            <w:pPr>
              <w:jc w:val="center"/>
              <w:rPr>
                <w:rFonts w:ascii="Arial" w:eastAsia="Times New Roman" w:hAnsi="Arial" w:cs="Arial"/>
                <w:sz w:val="18"/>
                <w:szCs w:val="18"/>
                <w:lang w:val="sv-SE" w:eastAsia="sv-SE"/>
              </w:rPr>
            </w:pPr>
            <w:r w:rsidRPr="00C926EC">
              <w:rPr>
                <w:rFonts w:ascii="Arial" w:eastAsia="Times New Roman" w:hAnsi="Arial" w:cs="Arial"/>
                <w:sz w:val="18"/>
                <w:szCs w:val="18"/>
                <w:lang w:val="sv-SE" w:eastAsia="sv-SE"/>
              </w:rPr>
              <w:t>3</w:t>
            </w:r>
          </w:p>
        </w:tc>
        <w:tc>
          <w:tcPr>
            <w:tcW w:w="1701" w:type="dxa"/>
            <w:noWrap/>
            <w:vAlign w:val="center"/>
            <w:hideMark/>
          </w:tcPr>
          <w:p w14:paraId="4739D4A3" w14:textId="77777777" w:rsidR="0095377F" w:rsidRPr="00C926EC" w:rsidRDefault="0095377F" w:rsidP="007D5E1F">
            <w:pPr>
              <w:jc w:val="center"/>
              <w:rPr>
                <w:rFonts w:ascii="Arial" w:eastAsia="Times New Roman" w:hAnsi="Arial" w:cs="Arial"/>
                <w:sz w:val="18"/>
                <w:szCs w:val="18"/>
                <w:lang w:val="sv-SE" w:eastAsia="sv-SE"/>
              </w:rPr>
            </w:pPr>
            <w:r w:rsidRPr="00C926EC">
              <w:rPr>
                <w:rFonts w:ascii="Arial" w:eastAsia="Times New Roman" w:hAnsi="Arial" w:cs="Arial"/>
                <w:sz w:val="18"/>
                <w:szCs w:val="18"/>
                <w:lang w:val="sv-SE" w:eastAsia="sv-SE"/>
              </w:rPr>
              <w:t>4</w:t>
            </w:r>
          </w:p>
        </w:tc>
        <w:tc>
          <w:tcPr>
            <w:tcW w:w="1559" w:type="dxa"/>
            <w:noWrap/>
            <w:vAlign w:val="center"/>
            <w:hideMark/>
          </w:tcPr>
          <w:p w14:paraId="109F4BA8" w14:textId="77777777" w:rsidR="0095377F" w:rsidRPr="00C926EC" w:rsidRDefault="0095377F" w:rsidP="007D5E1F">
            <w:pPr>
              <w:jc w:val="center"/>
              <w:rPr>
                <w:rFonts w:ascii="Arial" w:eastAsia="Times New Roman" w:hAnsi="Arial" w:cs="Arial"/>
                <w:sz w:val="18"/>
                <w:szCs w:val="18"/>
                <w:lang w:val="sv-SE" w:eastAsia="sv-SE"/>
              </w:rPr>
            </w:pPr>
            <w:r w:rsidRPr="00C926EC">
              <w:rPr>
                <w:rFonts w:ascii="Arial" w:eastAsia="Times New Roman" w:hAnsi="Arial" w:cs="Arial"/>
                <w:sz w:val="18"/>
                <w:szCs w:val="18"/>
                <w:lang w:val="sv-SE" w:eastAsia="sv-SE"/>
              </w:rPr>
              <w:t>6</w:t>
            </w:r>
          </w:p>
        </w:tc>
        <w:tc>
          <w:tcPr>
            <w:tcW w:w="1558" w:type="dxa"/>
            <w:noWrap/>
            <w:vAlign w:val="center"/>
            <w:hideMark/>
          </w:tcPr>
          <w:p w14:paraId="4A2628B9" w14:textId="77777777" w:rsidR="0095377F" w:rsidRPr="00C926EC" w:rsidRDefault="0095377F" w:rsidP="007D5E1F">
            <w:pPr>
              <w:jc w:val="center"/>
              <w:rPr>
                <w:rFonts w:ascii="Arial" w:eastAsia="Times New Roman" w:hAnsi="Arial" w:cs="Arial"/>
                <w:sz w:val="18"/>
                <w:szCs w:val="18"/>
                <w:lang w:val="sv-SE" w:eastAsia="sv-SE"/>
              </w:rPr>
            </w:pPr>
            <w:r w:rsidRPr="00C926EC">
              <w:rPr>
                <w:rFonts w:ascii="Arial" w:eastAsia="Times New Roman" w:hAnsi="Arial" w:cs="Arial"/>
                <w:sz w:val="18"/>
                <w:szCs w:val="18"/>
                <w:lang w:val="sv-SE" w:eastAsia="sv-SE"/>
              </w:rPr>
              <w:t>-</w:t>
            </w:r>
          </w:p>
        </w:tc>
      </w:tr>
      <w:tr w:rsidR="00C926EC" w:rsidRPr="00C926EC" w14:paraId="216EAE64" w14:textId="77777777" w:rsidTr="007D5E1F">
        <w:trPr>
          <w:trHeight w:val="290"/>
        </w:trPr>
        <w:tc>
          <w:tcPr>
            <w:tcW w:w="1134" w:type="dxa"/>
            <w:vAlign w:val="center"/>
          </w:tcPr>
          <w:p w14:paraId="3AD9247F" w14:textId="77777777" w:rsidR="0095377F" w:rsidRPr="00C926EC" w:rsidRDefault="0095377F" w:rsidP="007D5E1F">
            <w:pPr>
              <w:jc w:val="center"/>
              <w:rPr>
                <w:rFonts w:ascii="Arial" w:eastAsia="Times New Roman" w:hAnsi="Arial" w:cs="Arial"/>
                <w:sz w:val="18"/>
                <w:szCs w:val="18"/>
                <w:lang w:val="sv-SE" w:eastAsia="sv-SE"/>
              </w:rPr>
            </w:pPr>
          </w:p>
        </w:tc>
        <w:tc>
          <w:tcPr>
            <w:tcW w:w="1418" w:type="dxa"/>
            <w:noWrap/>
            <w:vAlign w:val="center"/>
            <w:hideMark/>
          </w:tcPr>
          <w:p w14:paraId="3759F215" w14:textId="77777777" w:rsidR="0095377F" w:rsidRPr="00C926EC" w:rsidRDefault="0095377F" w:rsidP="007D5E1F">
            <w:pPr>
              <w:jc w:val="center"/>
              <w:rPr>
                <w:rFonts w:ascii="Arial" w:eastAsia="Times New Roman" w:hAnsi="Arial" w:cs="Arial"/>
                <w:sz w:val="18"/>
                <w:szCs w:val="18"/>
                <w:lang w:val="sv-SE" w:eastAsia="sv-SE"/>
              </w:rPr>
            </w:pPr>
            <w:r w:rsidRPr="00C926EC">
              <w:rPr>
                <w:rFonts w:ascii="Arial" w:eastAsia="Times New Roman" w:hAnsi="Arial" w:cs="Arial"/>
                <w:sz w:val="18"/>
                <w:szCs w:val="18"/>
                <w:lang w:val="sv-SE" w:eastAsia="sv-SE"/>
              </w:rPr>
              <w:t>60</w:t>
            </w:r>
          </w:p>
        </w:tc>
        <w:tc>
          <w:tcPr>
            <w:tcW w:w="1134" w:type="dxa"/>
            <w:noWrap/>
            <w:vAlign w:val="center"/>
            <w:hideMark/>
          </w:tcPr>
          <w:p w14:paraId="10A8D038" w14:textId="77777777" w:rsidR="0095377F" w:rsidRPr="00C926EC" w:rsidRDefault="0095377F" w:rsidP="007D5E1F">
            <w:pPr>
              <w:jc w:val="center"/>
              <w:rPr>
                <w:rFonts w:ascii="Arial" w:eastAsia="Times New Roman" w:hAnsi="Arial" w:cs="Arial"/>
                <w:sz w:val="18"/>
                <w:szCs w:val="18"/>
                <w:lang w:val="sv-SE" w:eastAsia="sv-SE"/>
              </w:rPr>
            </w:pPr>
            <w:r w:rsidRPr="00C926EC">
              <w:rPr>
                <w:rFonts w:ascii="Arial" w:eastAsia="Times New Roman" w:hAnsi="Arial" w:cs="Arial"/>
                <w:sz w:val="18"/>
                <w:szCs w:val="18"/>
                <w:lang w:val="sv-SE" w:eastAsia="sv-SE"/>
              </w:rPr>
              <w:t>2</w:t>
            </w:r>
          </w:p>
        </w:tc>
        <w:tc>
          <w:tcPr>
            <w:tcW w:w="1701" w:type="dxa"/>
            <w:noWrap/>
            <w:vAlign w:val="center"/>
            <w:hideMark/>
          </w:tcPr>
          <w:p w14:paraId="3748BDD9" w14:textId="77777777" w:rsidR="0095377F" w:rsidRPr="00C926EC" w:rsidRDefault="0095377F" w:rsidP="007D5E1F">
            <w:pPr>
              <w:jc w:val="center"/>
              <w:rPr>
                <w:rFonts w:ascii="Arial" w:eastAsia="Times New Roman" w:hAnsi="Arial" w:cs="Arial"/>
                <w:sz w:val="18"/>
                <w:szCs w:val="18"/>
                <w:lang w:val="sv-SE" w:eastAsia="sv-SE"/>
              </w:rPr>
            </w:pPr>
            <w:r w:rsidRPr="00C926EC">
              <w:rPr>
                <w:rFonts w:ascii="Arial" w:eastAsia="Times New Roman" w:hAnsi="Arial" w:cs="Arial"/>
                <w:sz w:val="18"/>
                <w:szCs w:val="18"/>
                <w:lang w:val="sv-SE" w:eastAsia="sv-SE"/>
              </w:rPr>
              <w:t>2</w:t>
            </w:r>
          </w:p>
        </w:tc>
        <w:tc>
          <w:tcPr>
            <w:tcW w:w="1559" w:type="dxa"/>
            <w:noWrap/>
            <w:vAlign w:val="center"/>
            <w:hideMark/>
          </w:tcPr>
          <w:p w14:paraId="7CA80EF0" w14:textId="77777777" w:rsidR="0095377F" w:rsidRPr="00C926EC" w:rsidRDefault="0095377F" w:rsidP="007D5E1F">
            <w:pPr>
              <w:jc w:val="center"/>
              <w:rPr>
                <w:rFonts w:ascii="Arial" w:eastAsia="Times New Roman" w:hAnsi="Arial" w:cs="Arial"/>
                <w:sz w:val="18"/>
                <w:szCs w:val="18"/>
                <w:lang w:val="sv-SE" w:eastAsia="sv-SE"/>
              </w:rPr>
            </w:pPr>
            <w:r w:rsidRPr="00C926EC">
              <w:rPr>
                <w:rFonts w:ascii="Arial" w:eastAsia="Times New Roman" w:hAnsi="Arial" w:cs="Arial"/>
                <w:sz w:val="18"/>
                <w:szCs w:val="18"/>
                <w:lang w:val="sv-SE" w:eastAsia="sv-SE"/>
              </w:rPr>
              <w:t>3</w:t>
            </w:r>
          </w:p>
        </w:tc>
        <w:tc>
          <w:tcPr>
            <w:tcW w:w="1558" w:type="dxa"/>
            <w:noWrap/>
            <w:vAlign w:val="center"/>
            <w:hideMark/>
          </w:tcPr>
          <w:p w14:paraId="5651F69C" w14:textId="77777777" w:rsidR="0095377F" w:rsidRPr="00C926EC" w:rsidRDefault="0095377F" w:rsidP="007D5E1F">
            <w:pPr>
              <w:jc w:val="center"/>
              <w:rPr>
                <w:rFonts w:ascii="Arial" w:eastAsia="Times New Roman" w:hAnsi="Arial" w:cs="Arial"/>
                <w:sz w:val="18"/>
                <w:szCs w:val="18"/>
                <w:lang w:val="sv-SE" w:eastAsia="sv-SE"/>
              </w:rPr>
            </w:pPr>
            <w:r w:rsidRPr="00C926EC">
              <w:rPr>
                <w:rFonts w:ascii="Arial" w:eastAsia="Times New Roman" w:hAnsi="Arial" w:cs="Arial"/>
                <w:sz w:val="18"/>
                <w:szCs w:val="18"/>
                <w:lang w:val="sv-SE" w:eastAsia="sv-SE"/>
              </w:rPr>
              <w:t>4</w:t>
            </w:r>
          </w:p>
        </w:tc>
      </w:tr>
      <w:tr w:rsidR="0095377F" w:rsidRPr="00C926EC" w14:paraId="01BAC498" w14:textId="77777777" w:rsidTr="007D5E1F">
        <w:trPr>
          <w:trHeight w:val="290"/>
        </w:trPr>
        <w:tc>
          <w:tcPr>
            <w:tcW w:w="1134" w:type="dxa"/>
            <w:tcBorders>
              <w:bottom w:val="single" w:sz="4" w:space="0" w:color="auto"/>
            </w:tcBorders>
            <w:vAlign w:val="center"/>
          </w:tcPr>
          <w:p w14:paraId="2E250580" w14:textId="77777777" w:rsidR="0095377F" w:rsidRPr="00C926EC" w:rsidRDefault="0095377F" w:rsidP="007D5E1F">
            <w:pPr>
              <w:jc w:val="center"/>
              <w:rPr>
                <w:rFonts w:ascii="Arial" w:eastAsia="Times New Roman" w:hAnsi="Arial" w:cs="Arial"/>
                <w:sz w:val="18"/>
                <w:szCs w:val="18"/>
                <w:lang w:val="sv-SE" w:eastAsia="sv-SE"/>
              </w:rPr>
            </w:pPr>
          </w:p>
        </w:tc>
        <w:tc>
          <w:tcPr>
            <w:tcW w:w="1418" w:type="dxa"/>
            <w:tcBorders>
              <w:bottom w:val="single" w:sz="4" w:space="0" w:color="auto"/>
            </w:tcBorders>
            <w:noWrap/>
            <w:vAlign w:val="center"/>
            <w:hideMark/>
          </w:tcPr>
          <w:p w14:paraId="5D50CACD" w14:textId="77777777" w:rsidR="0095377F" w:rsidRPr="00C926EC" w:rsidRDefault="0095377F" w:rsidP="007D5E1F">
            <w:pPr>
              <w:jc w:val="center"/>
              <w:rPr>
                <w:rFonts w:ascii="Arial" w:eastAsia="Times New Roman" w:hAnsi="Arial" w:cs="Arial"/>
                <w:sz w:val="18"/>
                <w:szCs w:val="18"/>
                <w:lang w:val="sv-SE" w:eastAsia="sv-SE"/>
              </w:rPr>
            </w:pPr>
            <w:r w:rsidRPr="00C926EC">
              <w:rPr>
                <w:rFonts w:ascii="Arial" w:eastAsia="Times New Roman" w:hAnsi="Arial" w:cs="Arial"/>
                <w:sz w:val="18"/>
                <w:szCs w:val="18"/>
                <w:lang w:val="sv-SE" w:eastAsia="sv-SE"/>
              </w:rPr>
              <w:t>70</w:t>
            </w:r>
          </w:p>
        </w:tc>
        <w:tc>
          <w:tcPr>
            <w:tcW w:w="1134" w:type="dxa"/>
            <w:tcBorders>
              <w:bottom w:val="single" w:sz="4" w:space="0" w:color="auto"/>
            </w:tcBorders>
            <w:noWrap/>
            <w:vAlign w:val="center"/>
            <w:hideMark/>
          </w:tcPr>
          <w:p w14:paraId="7F81095D" w14:textId="77777777" w:rsidR="0095377F" w:rsidRPr="00C926EC" w:rsidRDefault="0095377F" w:rsidP="007D5E1F">
            <w:pPr>
              <w:jc w:val="center"/>
              <w:rPr>
                <w:rFonts w:ascii="Arial" w:eastAsia="Times New Roman" w:hAnsi="Arial" w:cs="Arial"/>
                <w:sz w:val="18"/>
                <w:szCs w:val="18"/>
                <w:lang w:val="sv-SE" w:eastAsia="sv-SE"/>
              </w:rPr>
            </w:pPr>
            <w:r w:rsidRPr="00C926EC">
              <w:rPr>
                <w:rFonts w:ascii="Arial" w:eastAsia="Times New Roman" w:hAnsi="Arial" w:cs="Arial"/>
                <w:sz w:val="18"/>
                <w:szCs w:val="18"/>
                <w:lang w:val="sv-SE" w:eastAsia="sv-SE"/>
              </w:rPr>
              <w:t>2</w:t>
            </w:r>
          </w:p>
        </w:tc>
        <w:tc>
          <w:tcPr>
            <w:tcW w:w="1701" w:type="dxa"/>
            <w:tcBorders>
              <w:bottom w:val="single" w:sz="4" w:space="0" w:color="auto"/>
            </w:tcBorders>
            <w:noWrap/>
            <w:vAlign w:val="center"/>
            <w:hideMark/>
          </w:tcPr>
          <w:p w14:paraId="14512E66" w14:textId="77777777" w:rsidR="0095377F" w:rsidRPr="00C926EC" w:rsidRDefault="0095377F" w:rsidP="007D5E1F">
            <w:pPr>
              <w:jc w:val="center"/>
              <w:rPr>
                <w:rFonts w:ascii="Arial" w:eastAsia="Times New Roman" w:hAnsi="Arial" w:cs="Arial"/>
                <w:sz w:val="18"/>
                <w:szCs w:val="18"/>
                <w:lang w:val="sv-SE" w:eastAsia="sv-SE"/>
              </w:rPr>
            </w:pPr>
            <w:r w:rsidRPr="00C926EC">
              <w:rPr>
                <w:rFonts w:ascii="Arial" w:eastAsia="Times New Roman" w:hAnsi="Arial" w:cs="Arial"/>
                <w:sz w:val="18"/>
                <w:szCs w:val="18"/>
                <w:lang w:val="sv-SE" w:eastAsia="sv-SE"/>
              </w:rPr>
              <w:t>2</w:t>
            </w:r>
          </w:p>
        </w:tc>
        <w:tc>
          <w:tcPr>
            <w:tcW w:w="1559" w:type="dxa"/>
            <w:tcBorders>
              <w:bottom w:val="single" w:sz="4" w:space="0" w:color="auto"/>
            </w:tcBorders>
            <w:noWrap/>
            <w:vAlign w:val="center"/>
            <w:hideMark/>
          </w:tcPr>
          <w:p w14:paraId="096DAB0B" w14:textId="77777777" w:rsidR="0095377F" w:rsidRPr="00C926EC" w:rsidRDefault="0095377F" w:rsidP="007D5E1F">
            <w:pPr>
              <w:jc w:val="center"/>
              <w:rPr>
                <w:rFonts w:ascii="Arial" w:eastAsia="Times New Roman" w:hAnsi="Arial" w:cs="Arial"/>
                <w:sz w:val="18"/>
                <w:szCs w:val="18"/>
                <w:lang w:val="sv-SE" w:eastAsia="sv-SE"/>
              </w:rPr>
            </w:pPr>
            <w:r w:rsidRPr="00C926EC">
              <w:rPr>
                <w:rFonts w:ascii="Arial" w:eastAsia="Times New Roman" w:hAnsi="Arial" w:cs="Arial"/>
                <w:sz w:val="18"/>
                <w:szCs w:val="18"/>
                <w:lang w:val="sv-SE" w:eastAsia="sv-SE"/>
              </w:rPr>
              <w:t>2</w:t>
            </w:r>
          </w:p>
        </w:tc>
        <w:tc>
          <w:tcPr>
            <w:tcW w:w="1558" w:type="dxa"/>
            <w:tcBorders>
              <w:bottom w:val="single" w:sz="4" w:space="0" w:color="auto"/>
            </w:tcBorders>
            <w:noWrap/>
            <w:vAlign w:val="center"/>
            <w:hideMark/>
          </w:tcPr>
          <w:p w14:paraId="4F476A03" w14:textId="77777777" w:rsidR="0095377F" w:rsidRPr="00C926EC" w:rsidRDefault="0095377F" w:rsidP="007D5E1F">
            <w:pPr>
              <w:jc w:val="center"/>
              <w:rPr>
                <w:rFonts w:ascii="Arial" w:eastAsia="Times New Roman" w:hAnsi="Arial" w:cs="Arial"/>
                <w:sz w:val="18"/>
                <w:szCs w:val="18"/>
                <w:lang w:val="sv-SE" w:eastAsia="sv-SE"/>
              </w:rPr>
            </w:pPr>
            <w:r w:rsidRPr="00C926EC">
              <w:rPr>
                <w:rFonts w:ascii="Arial" w:eastAsia="Times New Roman" w:hAnsi="Arial" w:cs="Arial"/>
                <w:sz w:val="18"/>
                <w:szCs w:val="18"/>
                <w:lang w:val="sv-SE" w:eastAsia="sv-SE"/>
              </w:rPr>
              <w:t>3</w:t>
            </w:r>
          </w:p>
        </w:tc>
      </w:tr>
    </w:tbl>
    <w:p w14:paraId="7514A3FA" w14:textId="77777777" w:rsidR="0095377F" w:rsidRPr="00C926EC" w:rsidRDefault="0095377F" w:rsidP="0095377F">
      <w:pPr>
        <w:spacing w:line="480" w:lineRule="auto"/>
        <w:jc w:val="both"/>
        <w:rPr>
          <w:rFonts w:ascii="Arial" w:hAnsi="Arial" w:cs="Arial"/>
          <w:bCs/>
          <w:iCs/>
          <w:sz w:val="24"/>
          <w:szCs w:val="24"/>
          <w:lang w:val="en-GB"/>
        </w:rPr>
      </w:pPr>
    </w:p>
    <w:p w14:paraId="4BC22904" w14:textId="04A944E5" w:rsidR="0095377F" w:rsidRPr="00C926EC" w:rsidRDefault="0095377F" w:rsidP="0065182A">
      <w:pPr>
        <w:spacing w:line="360" w:lineRule="auto"/>
        <w:jc w:val="both"/>
        <w:rPr>
          <w:rFonts w:ascii="Arial" w:hAnsi="Arial" w:cs="Arial"/>
          <w:sz w:val="24"/>
          <w:szCs w:val="24"/>
          <w:lang w:val="en-US"/>
        </w:rPr>
      </w:pPr>
    </w:p>
    <w:p w14:paraId="6CC4A88E" w14:textId="77777777" w:rsidR="0095377F" w:rsidRPr="00C926EC" w:rsidRDefault="0095377F" w:rsidP="0065182A">
      <w:pPr>
        <w:spacing w:line="360" w:lineRule="auto"/>
        <w:jc w:val="both"/>
        <w:rPr>
          <w:rFonts w:ascii="Arial" w:hAnsi="Arial" w:cs="Arial"/>
          <w:sz w:val="24"/>
          <w:szCs w:val="24"/>
          <w:lang w:val="en-US"/>
        </w:rPr>
      </w:pPr>
    </w:p>
    <w:sectPr w:rsidR="0095377F" w:rsidRPr="00C926EC" w:rsidSect="00A23F5D">
      <w:footerReference w:type="default" r:id="rId13"/>
      <w:pgSz w:w="11906" w:h="16838"/>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4DE4F" w14:textId="77777777" w:rsidR="00067AB2" w:rsidRDefault="00067AB2" w:rsidP="00EB6D60">
      <w:pPr>
        <w:spacing w:after="0" w:line="240" w:lineRule="auto"/>
      </w:pPr>
      <w:r>
        <w:separator/>
      </w:r>
    </w:p>
  </w:endnote>
  <w:endnote w:type="continuationSeparator" w:id="0">
    <w:p w14:paraId="07F54151" w14:textId="77777777" w:rsidR="00067AB2" w:rsidRDefault="00067AB2" w:rsidP="00EB6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6529702"/>
      <w:docPartObj>
        <w:docPartGallery w:val="Page Numbers (Bottom of Page)"/>
        <w:docPartUnique/>
      </w:docPartObj>
    </w:sdtPr>
    <w:sdtEndPr>
      <w:rPr>
        <w:noProof/>
      </w:rPr>
    </w:sdtEndPr>
    <w:sdtContent>
      <w:p w14:paraId="1A2850B7" w14:textId="7285E928" w:rsidR="00DD300C" w:rsidRDefault="00DD300C">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17AD3B6C" w14:textId="77777777" w:rsidR="00DD300C" w:rsidRDefault="00DD3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68760" w14:textId="77777777" w:rsidR="00067AB2" w:rsidRDefault="00067AB2" w:rsidP="00EB6D60">
      <w:pPr>
        <w:spacing w:after="0" w:line="240" w:lineRule="auto"/>
      </w:pPr>
      <w:r>
        <w:separator/>
      </w:r>
    </w:p>
  </w:footnote>
  <w:footnote w:type="continuationSeparator" w:id="0">
    <w:p w14:paraId="74C98690" w14:textId="77777777" w:rsidR="00067AB2" w:rsidRDefault="00067AB2" w:rsidP="00EB6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2271"/>
    <w:multiLevelType w:val="multilevel"/>
    <w:tmpl w:val="9B3484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0E24D8"/>
    <w:multiLevelType w:val="multilevel"/>
    <w:tmpl w:val="9B3484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A83C5F"/>
    <w:multiLevelType w:val="hybridMultilevel"/>
    <w:tmpl w:val="945AB2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C3411E"/>
    <w:multiLevelType w:val="multilevel"/>
    <w:tmpl w:val="9B3484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BD57096"/>
    <w:multiLevelType w:val="hybridMultilevel"/>
    <w:tmpl w:val="3A5E7C4C"/>
    <w:lvl w:ilvl="0" w:tplc="2364235E">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4917824"/>
    <w:multiLevelType w:val="multilevel"/>
    <w:tmpl w:val="9B3484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6F24227"/>
    <w:multiLevelType w:val="multilevel"/>
    <w:tmpl w:val="9B3484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877073A"/>
    <w:multiLevelType w:val="multilevel"/>
    <w:tmpl w:val="9B3484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A2F1151"/>
    <w:multiLevelType w:val="hybridMultilevel"/>
    <w:tmpl w:val="AC18C8B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A621B2F"/>
    <w:multiLevelType w:val="hybridMultilevel"/>
    <w:tmpl w:val="29FCFB20"/>
    <w:lvl w:ilvl="0" w:tplc="C2CA4486">
      <w:start w:val="100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125612"/>
    <w:multiLevelType w:val="hybridMultilevel"/>
    <w:tmpl w:val="3166718C"/>
    <w:lvl w:ilvl="0" w:tplc="A19C8C3A">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7BE33FD"/>
    <w:multiLevelType w:val="multilevel"/>
    <w:tmpl w:val="9B3484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96F0905"/>
    <w:multiLevelType w:val="hybridMultilevel"/>
    <w:tmpl w:val="8D58D996"/>
    <w:lvl w:ilvl="0" w:tplc="27D69E76">
      <w:start w:val="1"/>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98B513E"/>
    <w:multiLevelType w:val="multilevel"/>
    <w:tmpl w:val="9B3484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BBE20D4"/>
    <w:multiLevelType w:val="multilevel"/>
    <w:tmpl w:val="9B3484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BE11C9"/>
    <w:multiLevelType w:val="multilevel"/>
    <w:tmpl w:val="9B3484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5F341BD"/>
    <w:multiLevelType w:val="hybridMultilevel"/>
    <w:tmpl w:val="DF624CFC"/>
    <w:lvl w:ilvl="0" w:tplc="9664FD02">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90E62F8"/>
    <w:multiLevelType w:val="multilevel"/>
    <w:tmpl w:val="9B3484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C8971AA"/>
    <w:multiLevelType w:val="multilevel"/>
    <w:tmpl w:val="9B3484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CBB762F"/>
    <w:multiLevelType w:val="multilevel"/>
    <w:tmpl w:val="9B3484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F633DE7"/>
    <w:multiLevelType w:val="hybridMultilevel"/>
    <w:tmpl w:val="20A485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53100C5"/>
    <w:multiLevelType w:val="multilevel"/>
    <w:tmpl w:val="9B3484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6B228CE"/>
    <w:multiLevelType w:val="multilevel"/>
    <w:tmpl w:val="9B3484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8132B3F"/>
    <w:multiLevelType w:val="multilevel"/>
    <w:tmpl w:val="9B3484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86304AA"/>
    <w:multiLevelType w:val="hybridMultilevel"/>
    <w:tmpl w:val="2864FD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4EF70DC"/>
    <w:multiLevelType w:val="multilevel"/>
    <w:tmpl w:val="9B3484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5024DF2"/>
    <w:multiLevelType w:val="multilevel"/>
    <w:tmpl w:val="13481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9670E9"/>
    <w:multiLevelType w:val="multilevel"/>
    <w:tmpl w:val="9B3484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8177AFA"/>
    <w:multiLevelType w:val="multilevel"/>
    <w:tmpl w:val="9B3484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97F6D3C"/>
    <w:multiLevelType w:val="hybridMultilevel"/>
    <w:tmpl w:val="AF248B2E"/>
    <w:lvl w:ilvl="0" w:tplc="F13AE4DE">
      <w:start w:val="5"/>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F32B71"/>
    <w:multiLevelType w:val="hybridMultilevel"/>
    <w:tmpl w:val="CE288098"/>
    <w:lvl w:ilvl="0" w:tplc="B12698C8">
      <w:start w:val="5"/>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B04F55"/>
    <w:multiLevelType w:val="hybridMultilevel"/>
    <w:tmpl w:val="4B9E3E6A"/>
    <w:lvl w:ilvl="0" w:tplc="0A64ECD6">
      <w:start w:val="3"/>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3600CDE"/>
    <w:multiLevelType w:val="hybridMultilevel"/>
    <w:tmpl w:val="8B92E0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8827136"/>
    <w:multiLevelType w:val="multilevel"/>
    <w:tmpl w:val="9B3484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7"/>
  </w:num>
  <w:num w:numId="2">
    <w:abstractNumId w:val="32"/>
  </w:num>
  <w:num w:numId="3">
    <w:abstractNumId w:val="4"/>
  </w:num>
  <w:num w:numId="4">
    <w:abstractNumId w:val="31"/>
  </w:num>
  <w:num w:numId="5">
    <w:abstractNumId w:val="3"/>
  </w:num>
  <w:num w:numId="6">
    <w:abstractNumId w:val="10"/>
  </w:num>
  <w:num w:numId="7">
    <w:abstractNumId w:val="26"/>
  </w:num>
  <w:num w:numId="8">
    <w:abstractNumId w:val="18"/>
  </w:num>
  <w:num w:numId="9">
    <w:abstractNumId w:val="24"/>
  </w:num>
  <w:num w:numId="10">
    <w:abstractNumId w:val="0"/>
  </w:num>
  <w:num w:numId="11">
    <w:abstractNumId w:val="15"/>
  </w:num>
  <w:num w:numId="12">
    <w:abstractNumId w:val="7"/>
  </w:num>
  <w:num w:numId="13">
    <w:abstractNumId w:val="21"/>
  </w:num>
  <w:num w:numId="14">
    <w:abstractNumId w:val="19"/>
  </w:num>
  <w:num w:numId="15">
    <w:abstractNumId w:val="6"/>
  </w:num>
  <w:num w:numId="16">
    <w:abstractNumId w:val="23"/>
  </w:num>
  <w:num w:numId="17">
    <w:abstractNumId w:val="5"/>
  </w:num>
  <w:num w:numId="18">
    <w:abstractNumId w:val="1"/>
  </w:num>
  <w:num w:numId="19">
    <w:abstractNumId w:val="11"/>
  </w:num>
  <w:num w:numId="20">
    <w:abstractNumId w:val="14"/>
  </w:num>
  <w:num w:numId="21">
    <w:abstractNumId w:val="33"/>
  </w:num>
  <w:num w:numId="22">
    <w:abstractNumId w:val="2"/>
  </w:num>
  <w:num w:numId="23">
    <w:abstractNumId w:val="28"/>
  </w:num>
  <w:num w:numId="24">
    <w:abstractNumId w:val="22"/>
  </w:num>
  <w:num w:numId="25">
    <w:abstractNumId w:val="13"/>
  </w:num>
  <w:num w:numId="26">
    <w:abstractNumId w:val="16"/>
  </w:num>
  <w:num w:numId="27">
    <w:abstractNumId w:val="12"/>
  </w:num>
  <w:num w:numId="28">
    <w:abstractNumId w:val="9"/>
  </w:num>
  <w:num w:numId="29">
    <w:abstractNumId w:val="20"/>
  </w:num>
  <w:num w:numId="30">
    <w:abstractNumId w:val="29"/>
  </w:num>
  <w:num w:numId="31">
    <w:abstractNumId w:val="30"/>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3NDQ3Njc0NTMzsjRR0lEKTi0uzszPAykwqgUAS+16iiwAAAA="/>
  </w:docVars>
  <w:rsids>
    <w:rsidRoot w:val="005B67BE"/>
    <w:rsid w:val="00000C93"/>
    <w:rsid w:val="00001234"/>
    <w:rsid w:val="000017C8"/>
    <w:rsid w:val="00002160"/>
    <w:rsid w:val="00003140"/>
    <w:rsid w:val="0000320A"/>
    <w:rsid w:val="000039EB"/>
    <w:rsid w:val="00004410"/>
    <w:rsid w:val="000045D2"/>
    <w:rsid w:val="00005425"/>
    <w:rsid w:val="00005611"/>
    <w:rsid w:val="0000670F"/>
    <w:rsid w:val="000068BD"/>
    <w:rsid w:val="000071A9"/>
    <w:rsid w:val="00010579"/>
    <w:rsid w:val="00010744"/>
    <w:rsid w:val="0001229E"/>
    <w:rsid w:val="000129A0"/>
    <w:rsid w:val="0001322F"/>
    <w:rsid w:val="00013B7D"/>
    <w:rsid w:val="000148C5"/>
    <w:rsid w:val="00015724"/>
    <w:rsid w:val="00016171"/>
    <w:rsid w:val="00016D06"/>
    <w:rsid w:val="00017F9E"/>
    <w:rsid w:val="00020B04"/>
    <w:rsid w:val="0002194C"/>
    <w:rsid w:val="0002255B"/>
    <w:rsid w:val="00023081"/>
    <w:rsid w:val="00023F43"/>
    <w:rsid w:val="00024EA8"/>
    <w:rsid w:val="00026BA4"/>
    <w:rsid w:val="000278F9"/>
    <w:rsid w:val="00031A8A"/>
    <w:rsid w:val="00031CAE"/>
    <w:rsid w:val="00031CBE"/>
    <w:rsid w:val="00031DC1"/>
    <w:rsid w:val="00033382"/>
    <w:rsid w:val="000339F4"/>
    <w:rsid w:val="000342DA"/>
    <w:rsid w:val="00034758"/>
    <w:rsid w:val="0003734F"/>
    <w:rsid w:val="00037BAA"/>
    <w:rsid w:val="00040B69"/>
    <w:rsid w:val="00041481"/>
    <w:rsid w:val="000420F0"/>
    <w:rsid w:val="00043436"/>
    <w:rsid w:val="00043978"/>
    <w:rsid w:val="00043FCE"/>
    <w:rsid w:val="00044194"/>
    <w:rsid w:val="000447BA"/>
    <w:rsid w:val="00045A37"/>
    <w:rsid w:val="00046125"/>
    <w:rsid w:val="000464AF"/>
    <w:rsid w:val="000467E4"/>
    <w:rsid w:val="00047776"/>
    <w:rsid w:val="00047958"/>
    <w:rsid w:val="00050F16"/>
    <w:rsid w:val="0005115F"/>
    <w:rsid w:val="00052620"/>
    <w:rsid w:val="000530D0"/>
    <w:rsid w:val="00053FA7"/>
    <w:rsid w:val="00055240"/>
    <w:rsid w:val="0005642A"/>
    <w:rsid w:val="000571DB"/>
    <w:rsid w:val="000610E3"/>
    <w:rsid w:val="0006115B"/>
    <w:rsid w:val="000628C8"/>
    <w:rsid w:val="00063B4A"/>
    <w:rsid w:val="00064493"/>
    <w:rsid w:val="00067AB2"/>
    <w:rsid w:val="00067F2F"/>
    <w:rsid w:val="0007125B"/>
    <w:rsid w:val="000715E9"/>
    <w:rsid w:val="00072CF0"/>
    <w:rsid w:val="00072D76"/>
    <w:rsid w:val="00073356"/>
    <w:rsid w:val="0007341F"/>
    <w:rsid w:val="000735F6"/>
    <w:rsid w:val="00073F0F"/>
    <w:rsid w:val="00073F9C"/>
    <w:rsid w:val="00074376"/>
    <w:rsid w:val="00074DE0"/>
    <w:rsid w:val="00074E98"/>
    <w:rsid w:val="00075298"/>
    <w:rsid w:val="000759E2"/>
    <w:rsid w:val="000765F5"/>
    <w:rsid w:val="00077278"/>
    <w:rsid w:val="00077E25"/>
    <w:rsid w:val="0008079B"/>
    <w:rsid w:val="00080E74"/>
    <w:rsid w:val="000818F0"/>
    <w:rsid w:val="0008290C"/>
    <w:rsid w:val="00082BD0"/>
    <w:rsid w:val="00083796"/>
    <w:rsid w:val="00083E90"/>
    <w:rsid w:val="0008471C"/>
    <w:rsid w:val="00084863"/>
    <w:rsid w:val="000857FA"/>
    <w:rsid w:val="00086A3B"/>
    <w:rsid w:val="000873E4"/>
    <w:rsid w:val="00087F61"/>
    <w:rsid w:val="00091915"/>
    <w:rsid w:val="000939EF"/>
    <w:rsid w:val="000943E3"/>
    <w:rsid w:val="00096636"/>
    <w:rsid w:val="00097A3D"/>
    <w:rsid w:val="00097C16"/>
    <w:rsid w:val="000A1963"/>
    <w:rsid w:val="000A1B35"/>
    <w:rsid w:val="000A2560"/>
    <w:rsid w:val="000A4013"/>
    <w:rsid w:val="000A43F8"/>
    <w:rsid w:val="000A47BE"/>
    <w:rsid w:val="000A4FBC"/>
    <w:rsid w:val="000A5D7D"/>
    <w:rsid w:val="000A725E"/>
    <w:rsid w:val="000A7ADE"/>
    <w:rsid w:val="000B10A8"/>
    <w:rsid w:val="000B16EE"/>
    <w:rsid w:val="000B4276"/>
    <w:rsid w:val="000B7CA4"/>
    <w:rsid w:val="000C0469"/>
    <w:rsid w:val="000C0BD8"/>
    <w:rsid w:val="000C161D"/>
    <w:rsid w:val="000C27B5"/>
    <w:rsid w:val="000C2800"/>
    <w:rsid w:val="000C2AB1"/>
    <w:rsid w:val="000C40D2"/>
    <w:rsid w:val="000C44C6"/>
    <w:rsid w:val="000C4636"/>
    <w:rsid w:val="000C5645"/>
    <w:rsid w:val="000C5891"/>
    <w:rsid w:val="000C65A7"/>
    <w:rsid w:val="000D0228"/>
    <w:rsid w:val="000D0E90"/>
    <w:rsid w:val="000D153F"/>
    <w:rsid w:val="000D1EDB"/>
    <w:rsid w:val="000D356D"/>
    <w:rsid w:val="000D37EC"/>
    <w:rsid w:val="000D46BE"/>
    <w:rsid w:val="000D51EA"/>
    <w:rsid w:val="000D5434"/>
    <w:rsid w:val="000D5D7B"/>
    <w:rsid w:val="000D761A"/>
    <w:rsid w:val="000D7B58"/>
    <w:rsid w:val="000E0022"/>
    <w:rsid w:val="000E0B91"/>
    <w:rsid w:val="000E0DC3"/>
    <w:rsid w:val="000E14BA"/>
    <w:rsid w:val="000E1617"/>
    <w:rsid w:val="000E217B"/>
    <w:rsid w:val="000E30E8"/>
    <w:rsid w:val="000E3813"/>
    <w:rsid w:val="000E4394"/>
    <w:rsid w:val="000E560F"/>
    <w:rsid w:val="000E56C4"/>
    <w:rsid w:val="000E67A2"/>
    <w:rsid w:val="000E6ACB"/>
    <w:rsid w:val="000E76B4"/>
    <w:rsid w:val="000F03A7"/>
    <w:rsid w:val="000F0F5B"/>
    <w:rsid w:val="000F254C"/>
    <w:rsid w:val="000F29DC"/>
    <w:rsid w:val="000F4281"/>
    <w:rsid w:val="000F4F73"/>
    <w:rsid w:val="000F5634"/>
    <w:rsid w:val="000F586E"/>
    <w:rsid w:val="000F6348"/>
    <w:rsid w:val="000F70CC"/>
    <w:rsid w:val="000F7175"/>
    <w:rsid w:val="000F734C"/>
    <w:rsid w:val="00100505"/>
    <w:rsid w:val="001005FF"/>
    <w:rsid w:val="00100BF4"/>
    <w:rsid w:val="00100E0D"/>
    <w:rsid w:val="001025E6"/>
    <w:rsid w:val="001029E0"/>
    <w:rsid w:val="00102D1B"/>
    <w:rsid w:val="0010345E"/>
    <w:rsid w:val="001039BB"/>
    <w:rsid w:val="00104835"/>
    <w:rsid w:val="001051E7"/>
    <w:rsid w:val="00105ACA"/>
    <w:rsid w:val="00105FAE"/>
    <w:rsid w:val="001060A6"/>
    <w:rsid w:val="00106AD1"/>
    <w:rsid w:val="00106C47"/>
    <w:rsid w:val="00107868"/>
    <w:rsid w:val="00107C91"/>
    <w:rsid w:val="00111491"/>
    <w:rsid w:val="0011189E"/>
    <w:rsid w:val="00112DB6"/>
    <w:rsid w:val="00112F88"/>
    <w:rsid w:val="0011340D"/>
    <w:rsid w:val="00113C8D"/>
    <w:rsid w:val="00114EC2"/>
    <w:rsid w:val="00114F76"/>
    <w:rsid w:val="00115515"/>
    <w:rsid w:val="00116133"/>
    <w:rsid w:val="00116362"/>
    <w:rsid w:val="001169EA"/>
    <w:rsid w:val="00117BCA"/>
    <w:rsid w:val="00120E82"/>
    <w:rsid w:val="00121655"/>
    <w:rsid w:val="001217C1"/>
    <w:rsid w:val="001227B2"/>
    <w:rsid w:val="00122FD0"/>
    <w:rsid w:val="001239AA"/>
    <w:rsid w:val="00123D31"/>
    <w:rsid w:val="001255EC"/>
    <w:rsid w:val="00125810"/>
    <w:rsid w:val="00126816"/>
    <w:rsid w:val="00127B85"/>
    <w:rsid w:val="001317E0"/>
    <w:rsid w:val="001320D3"/>
    <w:rsid w:val="00134618"/>
    <w:rsid w:val="00134EF3"/>
    <w:rsid w:val="001353CF"/>
    <w:rsid w:val="00135853"/>
    <w:rsid w:val="001363CD"/>
    <w:rsid w:val="00136B8B"/>
    <w:rsid w:val="00137598"/>
    <w:rsid w:val="00142062"/>
    <w:rsid w:val="00142D83"/>
    <w:rsid w:val="00143B9B"/>
    <w:rsid w:val="00143C73"/>
    <w:rsid w:val="00143C90"/>
    <w:rsid w:val="001445A0"/>
    <w:rsid w:val="001461AC"/>
    <w:rsid w:val="00147B0A"/>
    <w:rsid w:val="00151E44"/>
    <w:rsid w:val="00151EFD"/>
    <w:rsid w:val="00153877"/>
    <w:rsid w:val="00154135"/>
    <w:rsid w:val="001542B2"/>
    <w:rsid w:val="001543BC"/>
    <w:rsid w:val="00154520"/>
    <w:rsid w:val="00154805"/>
    <w:rsid w:val="0015574D"/>
    <w:rsid w:val="00156A05"/>
    <w:rsid w:val="0015740E"/>
    <w:rsid w:val="00160CAB"/>
    <w:rsid w:val="00161387"/>
    <w:rsid w:val="00163C08"/>
    <w:rsid w:val="00164001"/>
    <w:rsid w:val="0016474F"/>
    <w:rsid w:val="0016475B"/>
    <w:rsid w:val="00164F8A"/>
    <w:rsid w:val="00166005"/>
    <w:rsid w:val="001664CA"/>
    <w:rsid w:val="00166E99"/>
    <w:rsid w:val="001708E2"/>
    <w:rsid w:val="00171C80"/>
    <w:rsid w:val="00171F3C"/>
    <w:rsid w:val="00173FA0"/>
    <w:rsid w:val="00174720"/>
    <w:rsid w:val="00174994"/>
    <w:rsid w:val="001749C9"/>
    <w:rsid w:val="00175724"/>
    <w:rsid w:val="00176150"/>
    <w:rsid w:val="00176886"/>
    <w:rsid w:val="00176CDA"/>
    <w:rsid w:val="001779A3"/>
    <w:rsid w:val="00180887"/>
    <w:rsid w:val="00180E50"/>
    <w:rsid w:val="0018104A"/>
    <w:rsid w:val="001815B7"/>
    <w:rsid w:val="00183381"/>
    <w:rsid w:val="00185808"/>
    <w:rsid w:val="0019097F"/>
    <w:rsid w:val="00191602"/>
    <w:rsid w:val="00192F7B"/>
    <w:rsid w:val="00193167"/>
    <w:rsid w:val="0019320F"/>
    <w:rsid w:val="00193527"/>
    <w:rsid w:val="00194865"/>
    <w:rsid w:val="00195A8A"/>
    <w:rsid w:val="00196254"/>
    <w:rsid w:val="00196442"/>
    <w:rsid w:val="001968B8"/>
    <w:rsid w:val="00197FA1"/>
    <w:rsid w:val="001A0E86"/>
    <w:rsid w:val="001A0EE4"/>
    <w:rsid w:val="001A1852"/>
    <w:rsid w:val="001A35E3"/>
    <w:rsid w:val="001A36BF"/>
    <w:rsid w:val="001A3984"/>
    <w:rsid w:val="001A471D"/>
    <w:rsid w:val="001A4BB2"/>
    <w:rsid w:val="001A5C05"/>
    <w:rsid w:val="001A6837"/>
    <w:rsid w:val="001A7284"/>
    <w:rsid w:val="001B06E6"/>
    <w:rsid w:val="001B078F"/>
    <w:rsid w:val="001B113A"/>
    <w:rsid w:val="001B13A1"/>
    <w:rsid w:val="001B2149"/>
    <w:rsid w:val="001B2BC2"/>
    <w:rsid w:val="001B36A0"/>
    <w:rsid w:val="001B42F2"/>
    <w:rsid w:val="001B515F"/>
    <w:rsid w:val="001B734E"/>
    <w:rsid w:val="001B7A63"/>
    <w:rsid w:val="001B7CE3"/>
    <w:rsid w:val="001C1785"/>
    <w:rsid w:val="001C2611"/>
    <w:rsid w:val="001C278E"/>
    <w:rsid w:val="001C31A9"/>
    <w:rsid w:val="001C4F1D"/>
    <w:rsid w:val="001C60DA"/>
    <w:rsid w:val="001C68E8"/>
    <w:rsid w:val="001C7091"/>
    <w:rsid w:val="001C73F8"/>
    <w:rsid w:val="001D02B1"/>
    <w:rsid w:val="001D05A0"/>
    <w:rsid w:val="001D08B5"/>
    <w:rsid w:val="001D0B6F"/>
    <w:rsid w:val="001D1124"/>
    <w:rsid w:val="001D1825"/>
    <w:rsid w:val="001D1B38"/>
    <w:rsid w:val="001D2164"/>
    <w:rsid w:val="001D2699"/>
    <w:rsid w:val="001D3424"/>
    <w:rsid w:val="001D3AF6"/>
    <w:rsid w:val="001D3C85"/>
    <w:rsid w:val="001D762B"/>
    <w:rsid w:val="001D7AFA"/>
    <w:rsid w:val="001E0EC2"/>
    <w:rsid w:val="001E308A"/>
    <w:rsid w:val="001E35C3"/>
    <w:rsid w:val="001E360B"/>
    <w:rsid w:val="001E3938"/>
    <w:rsid w:val="001E461D"/>
    <w:rsid w:val="001E4DB2"/>
    <w:rsid w:val="001E61D2"/>
    <w:rsid w:val="001E6667"/>
    <w:rsid w:val="001F0202"/>
    <w:rsid w:val="001F0B82"/>
    <w:rsid w:val="001F1163"/>
    <w:rsid w:val="001F15B9"/>
    <w:rsid w:val="001F1FA6"/>
    <w:rsid w:val="001F2099"/>
    <w:rsid w:val="001F31FA"/>
    <w:rsid w:val="001F3844"/>
    <w:rsid w:val="001F456F"/>
    <w:rsid w:val="001F46D0"/>
    <w:rsid w:val="001F5E56"/>
    <w:rsid w:val="001F7EBF"/>
    <w:rsid w:val="00200735"/>
    <w:rsid w:val="00200A6C"/>
    <w:rsid w:val="00200AB6"/>
    <w:rsid w:val="00200C45"/>
    <w:rsid w:val="00201F0C"/>
    <w:rsid w:val="002029D0"/>
    <w:rsid w:val="002032E7"/>
    <w:rsid w:val="002033DA"/>
    <w:rsid w:val="002035F2"/>
    <w:rsid w:val="0020382B"/>
    <w:rsid w:val="00203F05"/>
    <w:rsid w:val="002044BB"/>
    <w:rsid w:val="00204DA4"/>
    <w:rsid w:val="0020520D"/>
    <w:rsid w:val="00206425"/>
    <w:rsid w:val="00206BDC"/>
    <w:rsid w:val="002072DA"/>
    <w:rsid w:val="00210465"/>
    <w:rsid w:val="0021204B"/>
    <w:rsid w:val="00212BEE"/>
    <w:rsid w:val="0021367F"/>
    <w:rsid w:val="00213988"/>
    <w:rsid w:val="002146F5"/>
    <w:rsid w:val="00215F5F"/>
    <w:rsid w:val="00216004"/>
    <w:rsid w:val="002160F8"/>
    <w:rsid w:val="0021613F"/>
    <w:rsid w:val="00217350"/>
    <w:rsid w:val="0021763E"/>
    <w:rsid w:val="00220E7C"/>
    <w:rsid w:val="0022201F"/>
    <w:rsid w:val="00224129"/>
    <w:rsid w:val="00225774"/>
    <w:rsid w:val="0022627F"/>
    <w:rsid w:val="00226A4E"/>
    <w:rsid w:val="00227311"/>
    <w:rsid w:val="00227561"/>
    <w:rsid w:val="00227D04"/>
    <w:rsid w:val="0023008F"/>
    <w:rsid w:val="00230CC2"/>
    <w:rsid w:val="0023210C"/>
    <w:rsid w:val="00232445"/>
    <w:rsid w:val="00235352"/>
    <w:rsid w:val="00236EB9"/>
    <w:rsid w:val="00237621"/>
    <w:rsid w:val="0023785E"/>
    <w:rsid w:val="00237EA0"/>
    <w:rsid w:val="002420A9"/>
    <w:rsid w:val="00242412"/>
    <w:rsid w:val="00242956"/>
    <w:rsid w:val="0024350A"/>
    <w:rsid w:val="00245581"/>
    <w:rsid w:val="0024576D"/>
    <w:rsid w:val="00246409"/>
    <w:rsid w:val="00247A54"/>
    <w:rsid w:val="00250A12"/>
    <w:rsid w:val="00250CAD"/>
    <w:rsid w:val="00250DB1"/>
    <w:rsid w:val="002510BB"/>
    <w:rsid w:val="002511C5"/>
    <w:rsid w:val="00251694"/>
    <w:rsid w:val="00252637"/>
    <w:rsid w:val="0025293B"/>
    <w:rsid w:val="002535A1"/>
    <w:rsid w:val="002535CB"/>
    <w:rsid w:val="0025363E"/>
    <w:rsid w:val="00253702"/>
    <w:rsid w:val="00253A07"/>
    <w:rsid w:val="002546D2"/>
    <w:rsid w:val="002548FB"/>
    <w:rsid w:val="00254A5A"/>
    <w:rsid w:val="00255877"/>
    <w:rsid w:val="00256DFC"/>
    <w:rsid w:val="00256FBC"/>
    <w:rsid w:val="00257B7F"/>
    <w:rsid w:val="00260214"/>
    <w:rsid w:val="00260370"/>
    <w:rsid w:val="00260CA8"/>
    <w:rsid w:val="00261468"/>
    <w:rsid w:val="00261DF3"/>
    <w:rsid w:val="00262E7C"/>
    <w:rsid w:val="00262FCE"/>
    <w:rsid w:val="002634D7"/>
    <w:rsid w:val="002649D0"/>
    <w:rsid w:val="00266529"/>
    <w:rsid w:val="00266A3C"/>
    <w:rsid w:val="00266DDA"/>
    <w:rsid w:val="00270C54"/>
    <w:rsid w:val="002719E6"/>
    <w:rsid w:val="00271FC4"/>
    <w:rsid w:val="00272F44"/>
    <w:rsid w:val="00273A0F"/>
    <w:rsid w:val="00274D99"/>
    <w:rsid w:val="0027500A"/>
    <w:rsid w:val="0027510A"/>
    <w:rsid w:val="00275747"/>
    <w:rsid w:val="00275C2C"/>
    <w:rsid w:val="00275E25"/>
    <w:rsid w:val="00276087"/>
    <w:rsid w:val="00276ED0"/>
    <w:rsid w:val="002778A0"/>
    <w:rsid w:val="002778E7"/>
    <w:rsid w:val="00280DF7"/>
    <w:rsid w:val="00281D69"/>
    <w:rsid w:val="00282209"/>
    <w:rsid w:val="002824C6"/>
    <w:rsid w:val="00283F31"/>
    <w:rsid w:val="002854E5"/>
    <w:rsid w:val="00285724"/>
    <w:rsid w:val="0028722F"/>
    <w:rsid w:val="00287808"/>
    <w:rsid w:val="00287BBA"/>
    <w:rsid w:val="00290DD4"/>
    <w:rsid w:val="0029111F"/>
    <w:rsid w:val="0029117F"/>
    <w:rsid w:val="00291459"/>
    <w:rsid w:val="00293015"/>
    <w:rsid w:val="00293231"/>
    <w:rsid w:val="002949B5"/>
    <w:rsid w:val="00294F5B"/>
    <w:rsid w:val="002A09EF"/>
    <w:rsid w:val="002A118B"/>
    <w:rsid w:val="002A1998"/>
    <w:rsid w:val="002A2AD1"/>
    <w:rsid w:val="002A3018"/>
    <w:rsid w:val="002A372C"/>
    <w:rsid w:val="002A3902"/>
    <w:rsid w:val="002A3BDF"/>
    <w:rsid w:val="002A429A"/>
    <w:rsid w:val="002A464D"/>
    <w:rsid w:val="002A769D"/>
    <w:rsid w:val="002B0720"/>
    <w:rsid w:val="002B308F"/>
    <w:rsid w:val="002B518E"/>
    <w:rsid w:val="002B792D"/>
    <w:rsid w:val="002B7FC7"/>
    <w:rsid w:val="002C02CD"/>
    <w:rsid w:val="002C2725"/>
    <w:rsid w:val="002C3493"/>
    <w:rsid w:val="002C399B"/>
    <w:rsid w:val="002C4573"/>
    <w:rsid w:val="002C55D3"/>
    <w:rsid w:val="002C632D"/>
    <w:rsid w:val="002C666F"/>
    <w:rsid w:val="002C7895"/>
    <w:rsid w:val="002D20B2"/>
    <w:rsid w:val="002D2242"/>
    <w:rsid w:val="002D2749"/>
    <w:rsid w:val="002D28CD"/>
    <w:rsid w:val="002D2E87"/>
    <w:rsid w:val="002D2FED"/>
    <w:rsid w:val="002D33AA"/>
    <w:rsid w:val="002D3801"/>
    <w:rsid w:val="002D4212"/>
    <w:rsid w:val="002D4C6A"/>
    <w:rsid w:val="002D64B1"/>
    <w:rsid w:val="002D7CFC"/>
    <w:rsid w:val="002E241D"/>
    <w:rsid w:val="002E3286"/>
    <w:rsid w:val="002E38B6"/>
    <w:rsid w:val="002E4867"/>
    <w:rsid w:val="002E56F5"/>
    <w:rsid w:val="002E6250"/>
    <w:rsid w:val="002E7743"/>
    <w:rsid w:val="002F0C85"/>
    <w:rsid w:val="002F1E46"/>
    <w:rsid w:val="002F1EBF"/>
    <w:rsid w:val="002F1F6A"/>
    <w:rsid w:val="002F3487"/>
    <w:rsid w:val="002F3BF6"/>
    <w:rsid w:val="002F3F46"/>
    <w:rsid w:val="002F4C43"/>
    <w:rsid w:val="002F68A7"/>
    <w:rsid w:val="003009B3"/>
    <w:rsid w:val="003009B6"/>
    <w:rsid w:val="00303BAD"/>
    <w:rsid w:val="00303C4C"/>
    <w:rsid w:val="00304877"/>
    <w:rsid w:val="00304DFE"/>
    <w:rsid w:val="00304FA4"/>
    <w:rsid w:val="0030661C"/>
    <w:rsid w:val="00306FEB"/>
    <w:rsid w:val="00310D03"/>
    <w:rsid w:val="0031110C"/>
    <w:rsid w:val="0031420B"/>
    <w:rsid w:val="00314700"/>
    <w:rsid w:val="00314712"/>
    <w:rsid w:val="0031659E"/>
    <w:rsid w:val="0031710B"/>
    <w:rsid w:val="00320931"/>
    <w:rsid w:val="00320BE5"/>
    <w:rsid w:val="003213B1"/>
    <w:rsid w:val="00323CC7"/>
    <w:rsid w:val="0032454F"/>
    <w:rsid w:val="003258F8"/>
    <w:rsid w:val="00327787"/>
    <w:rsid w:val="00330069"/>
    <w:rsid w:val="00331192"/>
    <w:rsid w:val="003314EB"/>
    <w:rsid w:val="00332B23"/>
    <w:rsid w:val="003334DE"/>
    <w:rsid w:val="00333ABE"/>
    <w:rsid w:val="00334690"/>
    <w:rsid w:val="00334F43"/>
    <w:rsid w:val="0033646C"/>
    <w:rsid w:val="00336F56"/>
    <w:rsid w:val="00340A21"/>
    <w:rsid w:val="00340AF8"/>
    <w:rsid w:val="003425AD"/>
    <w:rsid w:val="003427C5"/>
    <w:rsid w:val="003428F2"/>
    <w:rsid w:val="0034610B"/>
    <w:rsid w:val="00347FF8"/>
    <w:rsid w:val="003510C5"/>
    <w:rsid w:val="003515CB"/>
    <w:rsid w:val="00352B0B"/>
    <w:rsid w:val="003534DC"/>
    <w:rsid w:val="00355037"/>
    <w:rsid w:val="00355B2E"/>
    <w:rsid w:val="00356953"/>
    <w:rsid w:val="0035719F"/>
    <w:rsid w:val="00357C7D"/>
    <w:rsid w:val="00360059"/>
    <w:rsid w:val="00360C00"/>
    <w:rsid w:val="0036202F"/>
    <w:rsid w:val="00363763"/>
    <w:rsid w:val="003638E4"/>
    <w:rsid w:val="00363EF7"/>
    <w:rsid w:val="00366389"/>
    <w:rsid w:val="00367915"/>
    <w:rsid w:val="0037128A"/>
    <w:rsid w:val="0037175E"/>
    <w:rsid w:val="00372050"/>
    <w:rsid w:val="0037284B"/>
    <w:rsid w:val="00373DB9"/>
    <w:rsid w:val="0037416F"/>
    <w:rsid w:val="00374BA9"/>
    <w:rsid w:val="003757D8"/>
    <w:rsid w:val="00376571"/>
    <w:rsid w:val="00376624"/>
    <w:rsid w:val="00376755"/>
    <w:rsid w:val="00376C24"/>
    <w:rsid w:val="0037701A"/>
    <w:rsid w:val="0037705F"/>
    <w:rsid w:val="00377258"/>
    <w:rsid w:val="003777F5"/>
    <w:rsid w:val="00377D5B"/>
    <w:rsid w:val="00380923"/>
    <w:rsid w:val="00380B66"/>
    <w:rsid w:val="00380D2D"/>
    <w:rsid w:val="0038238E"/>
    <w:rsid w:val="00382B7B"/>
    <w:rsid w:val="00382EBC"/>
    <w:rsid w:val="0038522E"/>
    <w:rsid w:val="00385887"/>
    <w:rsid w:val="003860B5"/>
    <w:rsid w:val="00386E69"/>
    <w:rsid w:val="003875A1"/>
    <w:rsid w:val="00390A95"/>
    <w:rsid w:val="003931EC"/>
    <w:rsid w:val="00393553"/>
    <w:rsid w:val="003935D7"/>
    <w:rsid w:val="003958AE"/>
    <w:rsid w:val="00396559"/>
    <w:rsid w:val="00397BCF"/>
    <w:rsid w:val="003A03D6"/>
    <w:rsid w:val="003A245E"/>
    <w:rsid w:val="003A3EC8"/>
    <w:rsid w:val="003A4D40"/>
    <w:rsid w:val="003A5701"/>
    <w:rsid w:val="003A5B18"/>
    <w:rsid w:val="003A5DEE"/>
    <w:rsid w:val="003A6F92"/>
    <w:rsid w:val="003B14AF"/>
    <w:rsid w:val="003B419D"/>
    <w:rsid w:val="003B4895"/>
    <w:rsid w:val="003B62F7"/>
    <w:rsid w:val="003B6C9F"/>
    <w:rsid w:val="003B6CA6"/>
    <w:rsid w:val="003B7675"/>
    <w:rsid w:val="003B7F77"/>
    <w:rsid w:val="003C12CF"/>
    <w:rsid w:val="003C1C75"/>
    <w:rsid w:val="003C2573"/>
    <w:rsid w:val="003C4084"/>
    <w:rsid w:val="003C56E7"/>
    <w:rsid w:val="003C6279"/>
    <w:rsid w:val="003C6BCD"/>
    <w:rsid w:val="003C72BD"/>
    <w:rsid w:val="003D00D5"/>
    <w:rsid w:val="003D0712"/>
    <w:rsid w:val="003D0C00"/>
    <w:rsid w:val="003D235F"/>
    <w:rsid w:val="003D3D1D"/>
    <w:rsid w:val="003D48B8"/>
    <w:rsid w:val="003D5414"/>
    <w:rsid w:val="003D563F"/>
    <w:rsid w:val="003D7060"/>
    <w:rsid w:val="003E0159"/>
    <w:rsid w:val="003E05B4"/>
    <w:rsid w:val="003E2263"/>
    <w:rsid w:val="003E268C"/>
    <w:rsid w:val="003E39F2"/>
    <w:rsid w:val="003E3CA5"/>
    <w:rsid w:val="003E4A85"/>
    <w:rsid w:val="003E5D07"/>
    <w:rsid w:val="003E5DB8"/>
    <w:rsid w:val="003E6976"/>
    <w:rsid w:val="003E7920"/>
    <w:rsid w:val="003F0203"/>
    <w:rsid w:val="003F0479"/>
    <w:rsid w:val="003F054A"/>
    <w:rsid w:val="003F0AE3"/>
    <w:rsid w:val="003F0C93"/>
    <w:rsid w:val="003F0F29"/>
    <w:rsid w:val="003F19B4"/>
    <w:rsid w:val="003F1BCC"/>
    <w:rsid w:val="003F2707"/>
    <w:rsid w:val="003F2DEF"/>
    <w:rsid w:val="003F3F2A"/>
    <w:rsid w:val="003F4C17"/>
    <w:rsid w:val="003F5121"/>
    <w:rsid w:val="003F5EB2"/>
    <w:rsid w:val="003F697B"/>
    <w:rsid w:val="003F6CFD"/>
    <w:rsid w:val="004019F2"/>
    <w:rsid w:val="00401E12"/>
    <w:rsid w:val="00403249"/>
    <w:rsid w:val="00403817"/>
    <w:rsid w:val="00403F2C"/>
    <w:rsid w:val="0040481C"/>
    <w:rsid w:val="00404CA6"/>
    <w:rsid w:val="00404CCA"/>
    <w:rsid w:val="00404F19"/>
    <w:rsid w:val="0040541D"/>
    <w:rsid w:val="00405668"/>
    <w:rsid w:val="00405D37"/>
    <w:rsid w:val="00407AF3"/>
    <w:rsid w:val="00407E07"/>
    <w:rsid w:val="00410A29"/>
    <w:rsid w:val="00410E6B"/>
    <w:rsid w:val="004136F4"/>
    <w:rsid w:val="004138FE"/>
    <w:rsid w:val="004145C0"/>
    <w:rsid w:val="00415535"/>
    <w:rsid w:val="004155B2"/>
    <w:rsid w:val="00415969"/>
    <w:rsid w:val="00415DE6"/>
    <w:rsid w:val="00417341"/>
    <w:rsid w:val="004176EF"/>
    <w:rsid w:val="00417E8F"/>
    <w:rsid w:val="00420BA8"/>
    <w:rsid w:val="004226DD"/>
    <w:rsid w:val="004227C6"/>
    <w:rsid w:val="0042285F"/>
    <w:rsid w:val="0042618D"/>
    <w:rsid w:val="0042659C"/>
    <w:rsid w:val="00426603"/>
    <w:rsid w:val="0042691D"/>
    <w:rsid w:val="00427456"/>
    <w:rsid w:val="0043029A"/>
    <w:rsid w:val="0043189F"/>
    <w:rsid w:val="00431B57"/>
    <w:rsid w:val="004344BC"/>
    <w:rsid w:val="00434A3C"/>
    <w:rsid w:val="004357DE"/>
    <w:rsid w:val="004363E9"/>
    <w:rsid w:val="00437245"/>
    <w:rsid w:val="00437D36"/>
    <w:rsid w:val="0044059B"/>
    <w:rsid w:val="0044087B"/>
    <w:rsid w:val="00440EA5"/>
    <w:rsid w:val="0044135F"/>
    <w:rsid w:val="00441890"/>
    <w:rsid w:val="00441D0D"/>
    <w:rsid w:val="004420EF"/>
    <w:rsid w:val="00442542"/>
    <w:rsid w:val="00442F1A"/>
    <w:rsid w:val="00442FF8"/>
    <w:rsid w:val="00443108"/>
    <w:rsid w:val="004434F3"/>
    <w:rsid w:val="00443770"/>
    <w:rsid w:val="0044379A"/>
    <w:rsid w:val="0044385E"/>
    <w:rsid w:val="004438FF"/>
    <w:rsid w:val="0044620A"/>
    <w:rsid w:val="00446586"/>
    <w:rsid w:val="00447BC8"/>
    <w:rsid w:val="00450BEF"/>
    <w:rsid w:val="004510B0"/>
    <w:rsid w:val="00452C65"/>
    <w:rsid w:val="0045403B"/>
    <w:rsid w:val="00455037"/>
    <w:rsid w:val="00456C76"/>
    <w:rsid w:val="004572D1"/>
    <w:rsid w:val="0045754A"/>
    <w:rsid w:val="00460780"/>
    <w:rsid w:val="00460F25"/>
    <w:rsid w:val="004620D1"/>
    <w:rsid w:val="0046243F"/>
    <w:rsid w:val="004628B1"/>
    <w:rsid w:val="00462CA6"/>
    <w:rsid w:val="00463A37"/>
    <w:rsid w:val="00463EE1"/>
    <w:rsid w:val="0046435D"/>
    <w:rsid w:val="00465418"/>
    <w:rsid w:val="00465C4D"/>
    <w:rsid w:val="00466702"/>
    <w:rsid w:val="004669F2"/>
    <w:rsid w:val="00466A8F"/>
    <w:rsid w:val="00467617"/>
    <w:rsid w:val="00470A1D"/>
    <w:rsid w:val="00471047"/>
    <w:rsid w:val="004718A9"/>
    <w:rsid w:val="00472416"/>
    <w:rsid w:val="00472718"/>
    <w:rsid w:val="00473C66"/>
    <w:rsid w:val="004741DC"/>
    <w:rsid w:val="00475092"/>
    <w:rsid w:val="00475947"/>
    <w:rsid w:val="00476B44"/>
    <w:rsid w:val="00480A4E"/>
    <w:rsid w:val="00481949"/>
    <w:rsid w:val="00481AD3"/>
    <w:rsid w:val="00481EA1"/>
    <w:rsid w:val="00482410"/>
    <w:rsid w:val="0048355E"/>
    <w:rsid w:val="00484DBA"/>
    <w:rsid w:val="00486A1C"/>
    <w:rsid w:val="00486D2C"/>
    <w:rsid w:val="004871C9"/>
    <w:rsid w:val="0049053B"/>
    <w:rsid w:val="00490AA4"/>
    <w:rsid w:val="004916AA"/>
    <w:rsid w:val="004950F9"/>
    <w:rsid w:val="00495828"/>
    <w:rsid w:val="00496340"/>
    <w:rsid w:val="0049796E"/>
    <w:rsid w:val="004A06E9"/>
    <w:rsid w:val="004A12B0"/>
    <w:rsid w:val="004A275C"/>
    <w:rsid w:val="004A3C10"/>
    <w:rsid w:val="004A4D39"/>
    <w:rsid w:val="004A6519"/>
    <w:rsid w:val="004B05CA"/>
    <w:rsid w:val="004B0F5B"/>
    <w:rsid w:val="004B150E"/>
    <w:rsid w:val="004B2ED4"/>
    <w:rsid w:val="004B3869"/>
    <w:rsid w:val="004B53CB"/>
    <w:rsid w:val="004B60D3"/>
    <w:rsid w:val="004B68F0"/>
    <w:rsid w:val="004C054A"/>
    <w:rsid w:val="004C0A8C"/>
    <w:rsid w:val="004C0C3D"/>
    <w:rsid w:val="004C0EEA"/>
    <w:rsid w:val="004C1468"/>
    <w:rsid w:val="004C1873"/>
    <w:rsid w:val="004C201A"/>
    <w:rsid w:val="004C36FF"/>
    <w:rsid w:val="004C380D"/>
    <w:rsid w:val="004C3B96"/>
    <w:rsid w:val="004C3D2C"/>
    <w:rsid w:val="004C5103"/>
    <w:rsid w:val="004C5162"/>
    <w:rsid w:val="004C5CCB"/>
    <w:rsid w:val="004C7024"/>
    <w:rsid w:val="004D0AF8"/>
    <w:rsid w:val="004D1666"/>
    <w:rsid w:val="004D1BEE"/>
    <w:rsid w:val="004D28AF"/>
    <w:rsid w:val="004D321C"/>
    <w:rsid w:val="004D33DF"/>
    <w:rsid w:val="004D3D08"/>
    <w:rsid w:val="004D3F46"/>
    <w:rsid w:val="004D4265"/>
    <w:rsid w:val="004D52D4"/>
    <w:rsid w:val="004D54FF"/>
    <w:rsid w:val="004D5503"/>
    <w:rsid w:val="004D5E4E"/>
    <w:rsid w:val="004D6636"/>
    <w:rsid w:val="004D7348"/>
    <w:rsid w:val="004D7396"/>
    <w:rsid w:val="004D7CFF"/>
    <w:rsid w:val="004E0985"/>
    <w:rsid w:val="004E178B"/>
    <w:rsid w:val="004E183A"/>
    <w:rsid w:val="004E25E4"/>
    <w:rsid w:val="004E3284"/>
    <w:rsid w:val="004E4F6F"/>
    <w:rsid w:val="004E61E0"/>
    <w:rsid w:val="004E642D"/>
    <w:rsid w:val="004F047C"/>
    <w:rsid w:val="004F1C14"/>
    <w:rsid w:val="004F1C7D"/>
    <w:rsid w:val="004F1DCA"/>
    <w:rsid w:val="004F1F76"/>
    <w:rsid w:val="004F2F09"/>
    <w:rsid w:val="004F38AA"/>
    <w:rsid w:val="004F3C50"/>
    <w:rsid w:val="004F3EF7"/>
    <w:rsid w:val="004F4574"/>
    <w:rsid w:val="004F462C"/>
    <w:rsid w:val="004F46A9"/>
    <w:rsid w:val="004F46CC"/>
    <w:rsid w:val="004F4D37"/>
    <w:rsid w:val="004F577A"/>
    <w:rsid w:val="004F5DB5"/>
    <w:rsid w:val="00500E5F"/>
    <w:rsid w:val="0050189D"/>
    <w:rsid w:val="00502190"/>
    <w:rsid w:val="00502C7C"/>
    <w:rsid w:val="00502CED"/>
    <w:rsid w:val="00503694"/>
    <w:rsid w:val="005041F3"/>
    <w:rsid w:val="00505FB4"/>
    <w:rsid w:val="00506E1C"/>
    <w:rsid w:val="0050756A"/>
    <w:rsid w:val="00510002"/>
    <w:rsid w:val="00510EDA"/>
    <w:rsid w:val="0051159C"/>
    <w:rsid w:val="00511A09"/>
    <w:rsid w:val="00511BB7"/>
    <w:rsid w:val="00511F4B"/>
    <w:rsid w:val="005120C8"/>
    <w:rsid w:val="00512163"/>
    <w:rsid w:val="00512A66"/>
    <w:rsid w:val="00512CB3"/>
    <w:rsid w:val="0051344A"/>
    <w:rsid w:val="00515F31"/>
    <w:rsid w:val="00515F55"/>
    <w:rsid w:val="005178DC"/>
    <w:rsid w:val="0052024E"/>
    <w:rsid w:val="00520271"/>
    <w:rsid w:val="00521C33"/>
    <w:rsid w:val="005237ED"/>
    <w:rsid w:val="0052405E"/>
    <w:rsid w:val="005248D5"/>
    <w:rsid w:val="005250BE"/>
    <w:rsid w:val="00525FB7"/>
    <w:rsid w:val="0052708F"/>
    <w:rsid w:val="00527230"/>
    <w:rsid w:val="0052743E"/>
    <w:rsid w:val="00527923"/>
    <w:rsid w:val="00527F2C"/>
    <w:rsid w:val="00531580"/>
    <w:rsid w:val="0053240C"/>
    <w:rsid w:val="00532863"/>
    <w:rsid w:val="00532BE3"/>
    <w:rsid w:val="005343C4"/>
    <w:rsid w:val="005358FC"/>
    <w:rsid w:val="00535953"/>
    <w:rsid w:val="005363A5"/>
    <w:rsid w:val="0053669E"/>
    <w:rsid w:val="00536783"/>
    <w:rsid w:val="00540179"/>
    <w:rsid w:val="005402FA"/>
    <w:rsid w:val="005437C5"/>
    <w:rsid w:val="00543940"/>
    <w:rsid w:val="00543DE4"/>
    <w:rsid w:val="0054403A"/>
    <w:rsid w:val="00545555"/>
    <w:rsid w:val="00545AD8"/>
    <w:rsid w:val="00545E85"/>
    <w:rsid w:val="005468D3"/>
    <w:rsid w:val="00546CBF"/>
    <w:rsid w:val="00547341"/>
    <w:rsid w:val="00547A27"/>
    <w:rsid w:val="00547AF3"/>
    <w:rsid w:val="005502D8"/>
    <w:rsid w:val="00550720"/>
    <w:rsid w:val="00551238"/>
    <w:rsid w:val="005534C2"/>
    <w:rsid w:val="00553C00"/>
    <w:rsid w:val="005541C4"/>
    <w:rsid w:val="00554C79"/>
    <w:rsid w:val="0055503D"/>
    <w:rsid w:val="005550F5"/>
    <w:rsid w:val="005553C7"/>
    <w:rsid w:val="00555915"/>
    <w:rsid w:val="00555FA2"/>
    <w:rsid w:val="005565B8"/>
    <w:rsid w:val="00560095"/>
    <w:rsid w:val="005611F6"/>
    <w:rsid w:val="005617F4"/>
    <w:rsid w:val="00563B40"/>
    <w:rsid w:val="00565F12"/>
    <w:rsid w:val="00566838"/>
    <w:rsid w:val="00566882"/>
    <w:rsid w:val="00570A1B"/>
    <w:rsid w:val="00571A97"/>
    <w:rsid w:val="005725F2"/>
    <w:rsid w:val="00573660"/>
    <w:rsid w:val="0057381B"/>
    <w:rsid w:val="005746E5"/>
    <w:rsid w:val="00574976"/>
    <w:rsid w:val="005749FF"/>
    <w:rsid w:val="00574A01"/>
    <w:rsid w:val="00574B15"/>
    <w:rsid w:val="0057700B"/>
    <w:rsid w:val="00577EB9"/>
    <w:rsid w:val="0058004F"/>
    <w:rsid w:val="00580ED4"/>
    <w:rsid w:val="00581CDA"/>
    <w:rsid w:val="00581ED4"/>
    <w:rsid w:val="0058276B"/>
    <w:rsid w:val="00583B61"/>
    <w:rsid w:val="00584F77"/>
    <w:rsid w:val="0058504F"/>
    <w:rsid w:val="005869D8"/>
    <w:rsid w:val="005870C0"/>
    <w:rsid w:val="0059197B"/>
    <w:rsid w:val="00594333"/>
    <w:rsid w:val="00594428"/>
    <w:rsid w:val="00595A3A"/>
    <w:rsid w:val="00595CED"/>
    <w:rsid w:val="005962FB"/>
    <w:rsid w:val="005A00B2"/>
    <w:rsid w:val="005A0ABF"/>
    <w:rsid w:val="005A16F2"/>
    <w:rsid w:val="005A3017"/>
    <w:rsid w:val="005A3601"/>
    <w:rsid w:val="005A3D60"/>
    <w:rsid w:val="005A5F03"/>
    <w:rsid w:val="005A699D"/>
    <w:rsid w:val="005B073C"/>
    <w:rsid w:val="005B2583"/>
    <w:rsid w:val="005B438A"/>
    <w:rsid w:val="005B5379"/>
    <w:rsid w:val="005B58C5"/>
    <w:rsid w:val="005B62CF"/>
    <w:rsid w:val="005B67BE"/>
    <w:rsid w:val="005B7D44"/>
    <w:rsid w:val="005B7F4D"/>
    <w:rsid w:val="005C0063"/>
    <w:rsid w:val="005C0074"/>
    <w:rsid w:val="005C0300"/>
    <w:rsid w:val="005C046D"/>
    <w:rsid w:val="005C1302"/>
    <w:rsid w:val="005C1C0C"/>
    <w:rsid w:val="005C1E03"/>
    <w:rsid w:val="005C3421"/>
    <w:rsid w:val="005C3424"/>
    <w:rsid w:val="005C44F3"/>
    <w:rsid w:val="005C62A9"/>
    <w:rsid w:val="005C7589"/>
    <w:rsid w:val="005D058C"/>
    <w:rsid w:val="005D07FB"/>
    <w:rsid w:val="005D0F65"/>
    <w:rsid w:val="005D2D80"/>
    <w:rsid w:val="005D3289"/>
    <w:rsid w:val="005D3C90"/>
    <w:rsid w:val="005D4212"/>
    <w:rsid w:val="005D4695"/>
    <w:rsid w:val="005D4BB9"/>
    <w:rsid w:val="005D4C03"/>
    <w:rsid w:val="005D535F"/>
    <w:rsid w:val="005D5FF4"/>
    <w:rsid w:val="005D663F"/>
    <w:rsid w:val="005D6B71"/>
    <w:rsid w:val="005D7606"/>
    <w:rsid w:val="005E155B"/>
    <w:rsid w:val="005E1B4F"/>
    <w:rsid w:val="005E326B"/>
    <w:rsid w:val="005E3987"/>
    <w:rsid w:val="005E4735"/>
    <w:rsid w:val="005E489A"/>
    <w:rsid w:val="005E48B5"/>
    <w:rsid w:val="005E4E72"/>
    <w:rsid w:val="005E53BD"/>
    <w:rsid w:val="005E5830"/>
    <w:rsid w:val="005E5A7F"/>
    <w:rsid w:val="005E6546"/>
    <w:rsid w:val="005E7CC4"/>
    <w:rsid w:val="005E7F1D"/>
    <w:rsid w:val="005F080D"/>
    <w:rsid w:val="005F1C97"/>
    <w:rsid w:val="005F2311"/>
    <w:rsid w:val="005F3BB0"/>
    <w:rsid w:val="005F3D2A"/>
    <w:rsid w:val="005F5ED6"/>
    <w:rsid w:val="005F6237"/>
    <w:rsid w:val="005F629C"/>
    <w:rsid w:val="005F68BC"/>
    <w:rsid w:val="00600F71"/>
    <w:rsid w:val="006021C7"/>
    <w:rsid w:val="006023E9"/>
    <w:rsid w:val="00602F5E"/>
    <w:rsid w:val="00603270"/>
    <w:rsid w:val="0060411B"/>
    <w:rsid w:val="006045BE"/>
    <w:rsid w:val="00605407"/>
    <w:rsid w:val="006057E3"/>
    <w:rsid w:val="00605E5C"/>
    <w:rsid w:val="00606776"/>
    <w:rsid w:val="006067A4"/>
    <w:rsid w:val="006071CB"/>
    <w:rsid w:val="0061079C"/>
    <w:rsid w:val="00612A45"/>
    <w:rsid w:val="0061371F"/>
    <w:rsid w:val="00613FC6"/>
    <w:rsid w:val="00614C9C"/>
    <w:rsid w:val="00615033"/>
    <w:rsid w:val="0061668C"/>
    <w:rsid w:val="006173A6"/>
    <w:rsid w:val="00617D54"/>
    <w:rsid w:val="00617F82"/>
    <w:rsid w:val="00620920"/>
    <w:rsid w:val="00621B92"/>
    <w:rsid w:val="00622516"/>
    <w:rsid w:val="00622564"/>
    <w:rsid w:val="00622A6C"/>
    <w:rsid w:val="00622BBA"/>
    <w:rsid w:val="00622F18"/>
    <w:rsid w:val="006240C9"/>
    <w:rsid w:val="006240CB"/>
    <w:rsid w:val="0062443F"/>
    <w:rsid w:val="006271AA"/>
    <w:rsid w:val="00627430"/>
    <w:rsid w:val="00627DFB"/>
    <w:rsid w:val="00632022"/>
    <w:rsid w:val="00632365"/>
    <w:rsid w:val="006324C3"/>
    <w:rsid w:val="006325DC"/>
    <w:rsid w:val="00633817"/>
    <w:rsid w:val="006339E9"/>
    <w:rsid w:val="00633A96"/>
    <w:rsid w:val="00633C9C"/>
    <w:rsid w:val="00634044"/>
    <w:rsid w:val="00637408"/>
    <w:rsid w:val="00637EA1"/>
    <w:rsid w:val="006409A8"/>
    <w:rsid w:val="00640C82"/>
    <w:rsid w:val="00641CB8"/>
    <w:rsid w:val="00641FFF"/>
    <w:rsid w:val="0064551D"/>
    <w:rsid w:val="00645DE4"/>
    <w:rsid w:val="00646244"/>
    <w:rsid w:val="00646613"/>
    <w:rsid w:val="00646C9F"/>
    <w:rsid w:val="00646E12"/>
    <w:rsid w:val="00647FCD"/>
    <w:rsid w:val="006516E4"/>
    <w:rsid w:val="006516E9"/>
    <w:rsid w:val="0065182A"/>
    <w:rsid w:val="00652AA4"/>
    <w:rsid w:val="00652D17"/>
    <w:rsid w:val="0065346A"/>
    <w:rsid w:val="0065362C"/>
    <w:rsid w:val="006542DB"/>
    <w:rsid w:val="00654C17"/>
    <w:rsid w:val="006553C6"/>
    <w:rsid w:val="006556A2"/>
    <w:rsid w:val="00655F74"/>
    <w:rsid w:val="00656063"/>
    <w:rsid w:val="006565DA"/>
    <w:rsid w:val="006569FD"/>
    <w:rsid w:val="00656B1D"/>
    <w:rsid w:val="00656E22"/>
    <w:rsid w:val="006603A2"/>
    <w:rsid w:val="00662015"/>
    <w:rsid w:val="00662F46"/>
    <w:rsid w:val="006631A5"/>
    <w:rsid w:val="006631EA"/>
    <w:rsid w:val="00664F32"/>
    <w:rsid w:val="00665145"/>
    <w:rsid w:val="00665363"/>
    <w:rsid w:val="00665885"/>
    <w:rsid w:val="00666922"/>
    <w:rsid w:val="00666AA4"/>
    <w:rsid w:val="006720D7"/>
    <w:rsid w:val="00672256"/>
    <w:rsid w:val="00672AD2"/>
    <w:rsid w:val="00674002"/>
    <w:rsid w:val="00674614"/>
    <w:rsid w:val="00676D42"/>
    <w:rsid w:val="00677111"/>
    <w:rsid w:val="006808D2"/>
    <w:rsid w:val="00681201"/>
    <w:rsid w:val="00681660"/>
    <w:rsid w:val="00681C83"/>
    <w:rsid w:val="00681CE6"/>
    <w:rsid w:val="00682335"/>
    <w:rsid w:val="00683022"/>
    <w:rsid w:val="0068340E"/>
    <w:rsid w:val="00684118"/>
    <w:rsid w:val="00685D32"/>
    <w:rsid w:val="006862BE"/>
    <w:rsid w:val="00692378"/>
    <w:rsid w:val="00692EF2"/>
    <w:rsid w:val="0069414C"/>
    <w:rsid w:val="0069512F"/>
    <w:rsid w:val="006963A0"/>
    <w:rsid w:val="00696BB6"/>
    <w:rsid w:val="0069760D"/>
    <w:rsid w:val="006A04EA"/>
    <w:rsid w:val="006A0D3D"/>
    <w:rsid w:val="006A0FCB"/>
    <w:rsid w:val="006A15BC"/>
    <w:rsid w:val="006A2235"/>
    <w:rsid w:val="006A43C2"/>
    <w:rsid w:val="006A4637"/>
    <w:rsid w:val="006A4EE3"/>
    <w:rsid w:val="006A4F27"/>
    <w:rsid w:val="006A5244"/>
    <w:rsid w:val="006A5605"/>
    <w:rsid w:val="006A5ABE"/>
    <w:rsid w:val="006A7E11"/>
    <w:rsid w:val="006B0C68"/>
    <w:rsid w:val="006B1A03"/>
    <w:rsid w:val="006B1C6A"/>
    <w:rsid w:val="006B2D6C"/>
    <w:rsid w:val="006B357F"/>
    <w:rsid w:val="006B3601"/>
    <w:rsid w:val="006B41D4"/>
    <w:rsid w:val="006B427D"/>
    <w:rsid w:val="006B4E96"/>
    <w:rsid w:val="006B5BF8"/>
    <w:rsid w:val="006B6EBE"/>
    <w:rsid w:val="006B7EA4"/>
    <w:rsid w:val="006C00DF"/>
    <w:rsid w:val="006C1E60"/>
    <w:rsid w:val="006C2EC0"/>
    <w:rsid w:val="006C4560"/>
    <w:rsid w:val="006C4D52"/>
    <w:rsid w:val="006C5E54"/>
    <w:rsid w:val="006C60C5"/>
    <w:rsid w:val="006C6273"/>
    <w:rsid w:val="006C6785"/>
    <w:rsid w:val="006C6B2F"/>
    <w:rsid w:val="006C6BEA"/>
    <w:rsid w:val="006C774E"/>
    <w:rsid w:val="006D11DE"/>
    <w:rsid w:val="006D2030"/>
    <w:rsid w:val="006D2AE0"/>
    <w:rsid w:val="006D2AE6"/>
    <w:rsid w:val="006D3023"/>
    <w:rsid w:val="006D3A08"/>
    <w:rsid w:val="006D4099"/>
    <w:rsid w:val="006D48C0"/>
    <w:rsid w:val="006D4C78"/>
    <w:rsid w:val="006D7057"/>
    <w:rsid w:val="006D7AE0"/>
    <w:rsid w:val="006D7BAC"/>
    <w:rsid w:val="006E0455"/>
    <w:rsid w:val="006E0882"/>
    <w:rsid w:val="006E0DA3"/>
    <w:rsid w:val="006E1198"/>
    <w:rsid w:val="006E121B"/>
    <w:rsid w:val="006E3F45"/>
    <w:rsid w:val="006E7445"/>
    <w:rsid w:val="006E7DF1"/>
    <w:rsid w:val="006F0B39"/>
    <w:rsid w:val="006F22D0"/>
    <w:rsid w:val="006F26CC"/>
    <w:rsid w:val="006F3583"/>
    <w:rsid w:val="006F4050"/>
    <w:rsid w:val="006F44E3"/>
    <w:rsid w:val="006F4CD8"/>
    <w:rsid w:val="006F6251"/>
    <w:rsid w:val="006F64FE"/>
    <w:rsid w:val="006F7F3D"/>
    <w:rsid w:val="00702144"/>
    <w:rsid w:val="00703747"/>
    <w:rsid w:val="007045BA"/>
    <w:rsid w:val="00704FC2"/>
    <w:rsid w:val="0070525C"/>
    <w:rsid w:val="0070588B"/>
    <w:rsid w:val="00707EB6"/>
    <w:rsid w:val="0071132B"/>
    <w:rsid w:val="00711B9B"/>
    <w:rsid w:val="00712BED"/>
    <w:rsid w:val="00712C38"/>
    <w:rsid w:val="00712E04"/>
    <w:rsid w:val="00716EC3"/>
    <w:rsid w:val="007178FD"/>
    <w:rsid w:val="00722A78"/>
    <w:rsid w:val="007230FC"/>
    <w:rsid w:val="007238F5"/>
    <w:rsid w:val="00724B9C"/>
    <w:rsid w:val="00724E91"/>
    <w:rsid w:val="00725699"/>
    <w:rsid w:val="0072666A"/>
    <w:rsid w:val="007306DB"/>
    <w:rsid w:val="0073148B"/>
    <w:rsid w:val="00731A25"/>
    <w:rsid w:val="00731EC3"/>
    <w:rsid w:val="00732363"/>
    <w:rsid w:val="007330C7"/>
    <w:rsid w:val="0073321B"/>
    <w:rsid w:val="00734F89"/>
    <w:rsid w:val="00735029"/>
    <w:rsid w:val="00735C23"/>
    <w:rsid w:val="00736F08"/>
    <w:rsid w:val="00737596"/>
    <w:rsid w:val="00737E20"/>
    <w:rsid w:val="0074087C"/>
    <w:rsid w:val="00740B28"/>
    <w:rsid w:val="00742BB0"/>
    <w:rsid w:val="0074383F"/>
    <w:rsid w:val="00743ECB"/>
    <w:rsid w:val="00744CD3"/>
    <w:rsid w:val="00744FE4"/>
    <w:rsid w:val="00745AD6"/>
    <w:rsid w:val="00745EC0"/>
    <w:rsid w:val="00746981"/>
    <w:rsid w:val="00746DFA"/>
    <w:rsid w:val="00747B4D"/>
    <w:rsid w:val="00750763"/>
    <w:rsid w:val="0075109B"/>
    <w:rsid w:val="0075196E"/>
    <w:rsid w:val="00751BB2"/>
    <w:rsid w:val="007526D6"/>
    <w:rsid w:val="00752EAA"/>
    <w:rsid w:val="00754637"/>
    <w:rsid w:val="00754681"/>
    <w:rsid w:val="00754A12"/>
    <w:rsid w:val="00755AD2"/>
    <w:rsid w:val="007562D3"/>
    <w:rsid w:val="007563DE"/>
    <w:rsid w:val="007574E2"/>
    <w:rsid w:val="0075759C"/>
    <w:rsid w:val="00760F83"/>
    <w:rsid w:val="00762732"/>
    <w:rsid w:val="007637C4"/>
    <w:rsid w:val="0076428B"/>
    <w:rsid w:val="0076473F"/>
    <w:rsid w:val="00764D37"/>
    <w:rsid w:val="00765092"/>
    <w:rsid w:val="007659FC"/>
    <w:rsid w:val="007663F2"/>
    <w:rsid w:val="00766E08"/>
    <w:rsid w:val="00767430"/>
    <w:rsid w:val="0076744B"/>
    <w:rsid w:val="007674D5"/>
    <w:rsid w:val="007703D1"/>
    <w:rsid w:val="00771FB4"/>
    <w:rsid w:val="00772102"/>
    <w:rsid w:val="007721C0"/>
    <w:rsid w:val="007723F4"/>
    <w:rsid w:val="007754FD"/>
    <w:rsid w:val="00775C86"/>
    <w:rsid w:val="00780979"/>
    <w:rsid w:val="0078246F"/>
    <w:rsid w:val="00782662"/>
    <w:rsid w:val="00782B6B"/>
    <w:rsid w:val="00783753"/>
    <w:rsid w:val="007843A0"/>
    <w:rsid w:val="007853E5"/>
    <w:rsid w:val="00787E33"/>
    <w:rsid w:val="0079090F"/>
    <w:rsid w:val="00791D53"/>
    <w:rsid w:val="00791DC3"/>
    <w:rsid w:val="00793961"/>
    <w:rsid w:val="0079545B"/>
    <w:rsid w:val="00796877"/>
    <w:rsid w:val="007A16AF"/>
    <w:rsid w:val="007A262B"/>
    <w:rsid w:val="007A3267"/>
    <w:rsid w:val="007A3537"/>
    <w:rsid w:val="007A4D2F"/>
    <w:rsid w:val="007A4F26"/>
    <w:rsid w:val="007A5D0B"/>
    <w:rsid w:val="007A619A"/>
    <w:rsid w:val="007A68F0"/>
    <w:rsid w:val="007A6B50"/>
    <w:rsid w:val="007A7EDC"/>
    <w:rsid w:val="007B0389"/>
    <w:rsid w:val="007B0B94"/>
    <w:rsid w:val="007B1E0F"/>
    <w:rsid w:val="007B440B"/>
    <w:rsid w:val="007B4834"/>
    <w:rsid w:val="007B4A75"/>
    <w:rsid w:val="007B4BCF"/>
    <w:rsid w:val="007B511B"/>
    <w:rsid w:val="007B5EFE"/>
    <w:rsid w:val="007B75DE"/>
    <w:rsid w:val="007B791F"/>
    <w:rsid w:val="007C1666"/>
    <w:rsid w:val="007C18A7"/>
    <w:rsid w:val="007C1D4B"/>
    <w:rsid w:val="007C3CE8"/>
    <w:rsid w:val="007C45C3"/>
    <w:rsid w:val="007C6A81"/>
    <w:rsid w:val="007D078C"/>
    <w:rsid w:val="007D15FE"/>
    <w:rsid w:val="007D383E"/>
    <w:rsid w:val="007D47B2"/>
    <w:rsid w:val="007D4C3B"/>
    <w:rsid w:val="007D4E4F"/>
    <w:rsid w:val="007D5454"/>
    <w:rsid w:val="007D5A99"/>
    <w:rsid w:val="007D5E1F"/>
    <w:rsid w:val="007D691B"/>
    <w:rsid w:val="007E0391"/>
    <w:rsid w:val="007E0C6D"/>
    <w:rsid w:val="007E0DA1"/>
    <w:rsid w:val="007E1405"/>
    <w:rsid w:val="007E1970"/>
    <w:rsid w:val="007E22B2"/>
    <w:rsid w:val="007E32DC"/>
    <w:rsid w:val="007E4796"/>
    <w:rsid w:val="007E528E"/>
    <w:rsid w:val="007E56AF"/>
    <w:rsid w:val="007E64D6"/>
    <w:rsid w:val="007E73F0"/>
    <w:rsid w:val="007E781E"/>
    <w:rsid w:val="007F0504"/>
    <w:rsid w:val="007F0CDC"/>
    <w:rsid w:val="007F11BD"/>
    <w:rsid w:val="007F190E"/>
    <w:rsid w:val="007F1A94"/>
    <w:rsid w:val="007F23DA"/>
    <w:rsid w:val="007F2A2F"/>
    <w:rsid w:val="007F2B75"/>
    <w:rsid w:val="007F5AA3"/>
    <w:rsid w:val="007F6D9A"/>
    <w:rsid w:val="007F70A8"/>
    <w:rsid w:val="00800E49"/>
    <w:rsid w:val="008012E7"/>
    <w:rsid w:val="0080165B"/>
    <w:rsid w:val="008017A2"/>
    <w:rsid w:val="00802A57"/>
    <w:rsid w:val="00802EC9"/>
    <w:rsid w:val="00803E17"/>
    <w:rsid w:val="00807C52"/>
    <w:rsid w:val="00807D41"/>
    <w:rsid w:val="0081042A"/>
    <w:rsid w:val="00813CF4"/>
    <w:rsid w:val="0081422E"/>
    <w:rsid w:val="0081434E"/>
    <w:rsid w:val="00816BA5"/>
    <w:rsid w:val="0081797B"/>
    <w:rsid w:val="0081797E"/>
    <w:rsid w:val="00820E56"/>
    <w:rsid w:val="008215D5"/>
    <w:rsid w:val="00821A15"/>
    <w:rsid w:val="00821A5D"/>
    <w:rsid w:val="00824A33"/>
    <w:rsid w:val="008265C4"/>
    <w:rsid w:val="008268CD"/>
    <w:rsid w:val="00830242"/>
    <w:rsid w:val="0083210B"/>
    <w:rsid w:val="00832C23"/>
    <w:rsid w:val="00832E4A"/>
    <w:rsid w:val="00836110"/>
    <w:rsid w:val="00836277"/>
    <w:rsid w:val="00836465"/>
    <w:rsid w:val="0083716E"/>
    <w:rsid w:val="008372B1"/>
    <w:rsid w:val="00837CAC"/>
    <w:rsid w:val="00840213"/>
    <w:rsid w:val="00840349"/>
    <w:rsid w:val="00840697"/>
    <w:rsid w:val="00840C53"/>
    <w:rsid w:val="00841588"/>
    <w:rsid w:val="0084180C"/>
    <w:rsid w:val="008419DF"/>
    <w:rsid w:val="0084320A"/>
    <w:rsid w:val="00845086"/>
    <w:rsid w:val="008456A0"/>
    <w:rsid w:val="00845775"/>
    <w:rsid w:val="00846215"/>
    <w:rsid w:val="0084635A"/>
    <w:rsid w:val="00846E15"/>
    <w:rsid w:val="00846F8C"/>
    <w:rsid w:val="008471A5"/>
    <w:rsid w:val="00850927"/>
    <w:rsid w:val="00850D47"/>
    <w:rsid w:val="00851FBB"/>
    <w:rsid w:val="0085341C"/>
    <w:rsid w:val="00855656"/>
    <w:rsid w:val="0085574B"/>
    <w:rsid w:val="00855D6B"/>
    <w:rsid w:val="00856A9F"/>
    <w:rsid w:val="00856D61"/>
    <w:rsid w:val="00857539"/>
    <w:rsid w:val="0085766D"/>
    <w:rsid w:val="008601EC"/>
    <w:rsid w:val="008604B7"/>
    <w:rsid w:val="008608AC"/>
    <w:rsid w:val="008616DA"/>
    <w:rsid w:val="00861CC2"/>
    <w:rsid w:val="00861EB8"/>
    <w:rsid w:val="008626A7"/>
    <w:rsid w:val="00862DF9"/>
    <w:rsid w:val="00863776"/>
    <w:rsid w:val="00863E53"/>
    <w:rsid w:val="00863F9D"/>
    <w:rsid w:val="00864953"/>
    <w:rsid w:val="00864FDC"/>
    <w:rsid w:val="00865444"/>
    <w:rsid w:val="008664D0"/>
    <w:rsid w:val="00866CC4"/>
    <w:rsid w:val="0086732D"/>
    <w:rsid w:val="00867946"/>
    <w:rsid w:val="008702A1"/>
    <w:rsid w:val="008704BA"/>
    <w:rsid w:val="00870CF0"/>
    <w:rsid w:val="00871331"/>
    <w:rsid w:val="008727D6"/>
    <w:rsid w:val="00873F93"/>
    <w:rsid w:val="00874442"/>
    <w:rsid w:val="0087562F"/>
    <w:rsid w:val="008756B8"/>
    <w:rsid w:val="008766CC"/>
    <w:rsid w:val="00876966"/>
    <w:rsid w:val="0087710B"/>
    <w:rsid w:val="00877A78"/>
    <w:rsid w:val="00877EBC"/>
    <w:rsid w:val="00880715"/>
    <w:rsid w:val="00880C01"/>
    <w:rsid w:val="00880CE2"/>
    <w:rsid w:val="008815DA"/>
    <w:rsid w:val="00881871"/>
    <w:rsid w:val="00881DCD"/>
    <w:rsid w:val="00883335"/>
    <w:rsid w:val="008837E2"/>
    <w:rsid w:val="008841B3"/>
    <w:rsid w:val="00884286"/>
    <w:rsid w:val="00884A88"/>
    <w:rsid w:val="00885809"/>
    <w:rsid w:val="00886EAE"/>
    <w:rsid w:val="0089008C"/>
    <w:rsid w:val="008936D8"/>
    <w:rsid w:val="00894640"/>
    <w:rsid w:val="00895734"/>
    <w:rsid w:val="00896569"/>
    <w:rsid w:val="00896A0E"/>
    <w:rsid w:val="00896E6F"/>
    <w:rsid w:val="00896FB6"/>
    <w:rsid w:val="00897449"/>
    <w:rsid w:val="00897977"/>
    <w:rsid w:val="008A1D6D"/>
    <w:rsid w:val="008A2225"/>
    <w:rsid w:val="008A2A95"/>
    <w:rsid w:val="008A4A09"/>
    <w:rsid w:val="008A4F65"/>
    <w:rsid w:val="008A6294"/>
    <w:rsid w:val="008A69DF"/>
    <w:rsid w:val="008B080E"/>
    <w:rsid w:val="008B146C"/>
    <w:rsid w:val="008B18B5"/>
    <w:rsid w:val="008B387E"/>
    <w:rsid w:val="008B4372"/>
    <w:rsid w:val="008B4659"/>
    <w:rsid w:val="008B4993"/>
    <w:rsid w:val="008B70FF"/>
    <w:rsid w:val="008C0884"/>
    <w:rsid w:val="008C0B0E"/>
    <w:rsid w:val="008C1A1B"/>
    <w:rsid w:val="008C2B47"/>
    <w:rsid w:val="008C34F5"/>
    <w:rsid w:val="008C38D0"/>
    <w:rsid w:val="008C5090"/>
    <w:rsid w:val="008C50C2"/>
    <w:rsid w:val="008C51A7"/>
    <w:rsid w:val="008C5A64"/>
    <w:rsid w:val="008C63F6"/>
    <w:rsid w:val="008C671D"/>
    <w:rsid w:val="008D05C0"/>
    <w:rsid w:val="008D0807"/>
    <w:rsid w:val="008D3317"/>
    <w:rsid w:val="008D3930"/>
    <w:rsid w:val="008D3F13"/>
    <w:rsid w:val="008D59D1"/>
    <w:rsid w:val="008D5CEC"/>
    <w:rsid w:val="008D6369"/>
    <w:rsid w:val="008D67BF"/>
    <w:rsid w:val="008D7224"/>
    <w:rsid w:val="008D7EEA"/>
    <w:rsid w:val="008E1F14"/>
    <w:rsid w:val="008E269B"/>
    <w:rsid w:val="008E30D6"/>
    <w:rsid w:val="008E397B"/>
    <w:rsid w:val="008E491F"/>
    <w:rsid w:val="008E6BB1"/>
    <w:rsid w:val="008E6FAA"/>
    <w:rsid w:val="008E712A"/>
    <w:rsid w:val="008E75F5"/>
    <w:rsid w:val="008F03F7"/>
    <w:rsid w:val="008F147A"/>
    <w:rsid w:val="008F1A73"/>
    <w:rsid w:val="008F2F0E"/>
    <w:rsid w:val="008F3360"/>
    <w:rsid w:val="008F4C05"/>
    <w:rsid w:val="008F4E4B"/>
    <w:rsid w:val="008F4E73"/>
    <w:rsid w:val="008F644F"/>
    <w:rsid w:val="008F648A"/>
    <w:rsid w:val="008F671F"/>
    <w:rsid w:val="009003AE"/>
    <w:rsid w:val="0090435A"/>
    <w:rsid w:val="0090438F"/>
    <w:rsid w:val="009062D9"/>
    <w:rsid w:val="00906FF3"/>
    <w:rsid w:val="009100A6"/>
    <w:rsid w:val="00910734"/>
    <w:rsid w:val="009112E6"/>
    <w:rsid w:val="00912DBB"/>
    <w:rsid w:val="0091307F"/>
    <w:rsid w:val="00913A09"/>
    <w:rsid w:val="00916C1B"/>
    <w:rsid w:val="0091758E"/>
    <w:rsid w:val="0091764B"/>
    <w:rsid w:val="009178B0"/>
    <w:rsid w:val="009205F4"/>
    <w:rsid w:val="00920B1B"/>
    <w:rsid w:val="0092263C"/>
    <w:rsid w:val="00922740"/>
    <w:rsid w:val="00923293"/>
    <w:rsid w:val="00923FAB"/>
    <w:rsid w:val="00924E31"/>
    <w:rsid w:val="00925490"/>
    <w:rsid w:val="00926C28"/>
    <w:rsid w:val="00927694"/>
    <w:rsid w:val="00927840"/>
    <w:rsid w:val="00927E5E"/>
    <w:rsid w:val="00927FCF"/>
    <w:rsid w:val="00930713"/>
    <w:rsid w:val="00930B71"/>
    <w:rsid w:val="00930EFF"/>
    <w:rsid w:val="00931940"/>
    <w:rsid w:val="009319F7"/>
    <w:rsid w:val="0093333D"/>
    <w:rsid w:val="009335D2"/>
    <w:rsid w:val="00933C95"/>
    <w:rsid w:val="009347F9"/>
    <w:rsid w:val="00937948"/>
    <w:rsid w:val="00937C3A"/>
    <w:rsid w:val="00937E81"/>
    <w:rsid w:val="00940BE6"/>
    <w:rsid w:val="0094142E"/>
    <w:rsid w:val="009429D1"/>
    <w:rsid w:val="00943BA6"/>
    <w:rsid w:val="0094519C"/>
    <w:rsid w:val="00945892"/>
    <w:rsid w:val="00946719"/>
    <w:rsid w:val="009468AC"/>
    <w:rsid w:val="00946D04"/>
    <w:rsid w:val="0094713C"/>
    <w:rsid w:val="00947EC7"/>
    <w:rsid w:val="0095143E"/>
    <w:rsid w:val="00951917"/>
    <w:rsid w:val="009520EF"/>
    <w:rsid w:val="0095377F"/>
    <w:rsid w:val="00953E8D"/>
    <w:rsid w:val="009552EC"/>
    <w:rsid w:val="009554AC"/>
    <w:rsid w:val="009555CD"/>
    <w:rsid w:val="00957F01"/>
    <w:rsid w:val="0096025B"/>
    <w:rsid w:val="0096258A"/>
    <w:rsid w:val="00962FCA"/>
    <w:rsid w:val="009632C3"/>
    <w:rsid w:val="0096446F"/>
    <w:rsid w:val="00964DDF"/>
    <w:rsid w:val="00965196"/>
    <w:rsid w:val="00965E9F"/>
    <w:rsid w:val="00967123"/>
    <w:rsid w:val="00970067"/>
    <w:rsid w:val="00970287"/>
    <w:rsid w:val="009709B4"/>
    <w:rsid w:val="00972B8D"/>
    <w:rsid w:val="009732A5"/>
    <w:rsid w:val="0097443F"/>
    <w:rsid w:val="00974C65"/>
    <w:rsid w:val="00975E5B"/>
    <w:rsid w:val="009761B6"/>
    <w:rsid w:val="00976849"/>
    <w:rsid w:val="009771C7"/>
    <w:rsid w:val="00977A6D"/>
    <w:rsid w:val="00977E5A"/>
    <w:rsid w:val="0098121E"/>
    <w:rsid w:val="00981E9F"/>
    <w:rsid w:val="00981EC6"/>
    <w:rsid w:val="00981F3A"/>
    <w:rsid w:val="00983385"/>
    <w:rsid w:val="00983CA9"/>
    <w:rsid w:val="00983D8F"/>
    <w:rsid w:val="00984E7C"/>
    <w:rsid w:val="0098574D"/>
    <w:rsid w:val="00986199"/>
    <w:rsid w:val="009861E9"/>
    <w:rsid w:val="0098645E"/>
    <w:rsid w:val="00986E01"/>
    <w:rsid w:val="0099006C"/>
    <w:rsid w:val="0099047A"/>
    <w:rsid w:val="00990C7A"/>
    <w:rsid w:val="0099266E"/>
    <w:rsid w:val="00993CA1"/>
    <w:rsid w:val="00994A9A"/>
    <w:rsid w:val="00994BF6"/>
    <w:rsid w:val="00994F55"/>
    <w:rsid w:val="009950CC"/>
    <w:rsid w:val="00995B70"/>
    <w:rsid w:val="00996A16"/>
    <w:rsid w:val="00997053"/>
    <w:rsid w:val="009A14F3"/>
    <w:rsid w:val="009A43CE"/>
    <w:rsid w:val="009A5C1C"/>
    <w:rsid w:val="009A615E"/>
    <w:rsid w:val="009A6618"/>
    <w:rsid w:val="009A6C4D"/>
    <w:rsid w:val="009A6E26"/>
    <w:rsid w:val="009B031F"/>
    <w:rsid w:val="009B0503"/>
    <w:rsid w:val="009B05D7"/>
    <w:rsid w:val="009B0623"/>
    <w:rsid w:val="009B0C31"/>
    <w:rsid w:val="009B2609"/>
    <w:rsid w:val="009B3243"/>
    <w:rsid w:val="009B374F"/>
    <w:rsid w:val="009B3AE8"/>
    <w:rsid w:val="009B43C8"/>
    <w:rsid w:val="009B609E"/>
    <w:rsid w:val="009B6C56"/>
    <w:rsid w:val="009B70D9"/>
    <w:rsid w:val="009C0609"/>
    <w:rsid w:val="009C0C77"/>
    <w:rsid w:val="009C2CC8"/>
    <w:rsid w:val="009C373A"/>
    <w:rsid w:val="009C3C41"/>
    <w:rsid w:val="009C438C"/>
    <w:rsid w:val="009C67B9"/>
    <w:rsid w:val="009C7491"/>
    <w:rsid w:val="009D0FF3"/>
    <w:rsid w:val="009D14F5"/>
    <w:rsid w:val="009D224B"/>
    <w:rsid w:val="009D25FE"/>
    <w:rsid w:val="009D2A18"/>
    <w:rsid w:val="009D3574"/>
    <w:rsid w:val="009D52DA"/>
    <w:rsid w:val="009D5B0E"/>
    <w:rsid w:val="009D6C52"/>
    <w:rsid w:val="009D78D1"/>
    <w:rsid w:val="009E0158"/>
    <w:rsid w:val="009E03A8"/>
    <w:rsid w:val="009E067F"/>
    <w:rsid w:val="009E1E47"/>
    <w:rsid w:val="009E247D"/>
    <w:rsid w:val="009E309C"/>
    <w:rsid w:val="009E42CA"/>
    <w:rsid w:val="009E4496"/>
    <w:rsid w:val="009E526E"/>
    <w:rsid w:val="009E6A79"/>
    <w:rsid w:val="009E6E6F"/>
    <w:rsid w:val="009E75D1"/>
    <w:rsid w:val="009F052E"/>
    <w:rsid w:val="009F0C7B"/>
    <w:rsid w:val="009F145E"/>
    <w:rsid w:val="009F1FBA"/>
    <w:rsid w:val="009F353F"/>
    <w:rsid w:val="009F38BD"/>
    <w:rsid w:val="009F3D85"/>
    <w:rsid w:val="009F4D6B"/>
    <w:rsid w:val="009F69EB"/>
    <w:rsid w:val="00A01055"/>
    <w:rsid w:val="00A01186"/>
    <w:rsid w:val="00A01673"/>
    <w:rsid w:val="00A01C1C"/>
    <w:rsid w:val="00A01FFC"/>
    <w:rsid w:val="00A0355D"/>
    <w:rsid w:val="00A049A6"/>
    <w:rsid w:val="00A05DFA"/>
    <w:rsid w:val="00A06899"/>
    <w:rsid w:val="00A076AD"/>
    <w:rsid w:val="00A106B3"/>
    <w:rsid w:val="00A10A38"/>
    <w:rsid w:val="00A11544"/>
    <w:rsid w:val="00A13104"/>
    <w:rsid w:val="00A1514D"/>
    <w:rsid w:val="00A16EEF"/>
    <w:rsid w:val="00A20454"/>
    <w:rsid w:val="00A20A35"/>
    <w:rsid w:val="00A216C8"/>
    <w:rsid w:val="00A21745"/>
    <w:rsid w:val="00A21F5A"/>
    <w:rsid w:val="00A22148"/>
    <w:rsid w:val="00A2319D"/>
    <w:rsid w:val="00A23F5D"/>
    <w:rsid w:val="00A24851"/>
    <w:rsid w:val="00A277B0"/>
    <w:rsid w:val="00A27F47"/>
    <w:rsid w:val="00A3103C"/>
    <w:rsid w:val="00A3287D"/>
    <w:rsid w:val="00A32D30"/>
    <w:rsid w:val="00A35112"/>
    <w:rsid w:val="00A36A38"/>
    <w:rsid w:val="00A36E02"/>
    <w:rsid w:val="00A40941"/>
    <w:rsid w:val="00A41731"/>
    <w:rsid w:val="00A4281E"/>
    <w:rsid w:val="00A428ED"/>
    <w:rsid w:val="00A429EB"/>
    <w:rsid w:val="00A42CF8"/>
    <w:rsid w:val="00A433C1"/>
    <w:rsid w:val="00A4341D"/>
    <w:rsid w:val="00A434B1"/>
    <w:rsid w:val="00A43625"/>
    <w:rsid w:val="00A44942"/>
    <w:rsid w:val="00A452BE"/>
    <w:rsid w:val="00A45968"/>
    <w:rsid w:val="00A459CF"/>
    <w:rsid w:val="00A47CC6"/>
    <w:rsid w:val="00A50CA9"/>
    <w:rsid w:val="00A50F13"/>
    <w:rsid w:val="00A5246E"/>
    <w:rsid w:val="00A532B5"/>
    <w:rsid w:val="00A5374B"/>
    <w:rsid w:val="00A53A42"/>
    <w:rsid w:val="00A54164"/>
    <w:rsid w:val="00A5498A"/>
    <w:rsid w:val="00A54B4B"/>
    <w:rsid w:val="00A54EFC"/>
    <w:rsid w:val="00A5560B"/>
    <w:rsid w:val="00A55839"/>
    <w:rsid w:val="00A56130"/>
    <w:rsid w:val="00A5704A"/>
    <w:rsid w:val="00A57E67"/>
    <w:rsid w:val="00A606FC"/>
    <w:rsid w:val="00A60D42"/>
    <w:rsid w:val="00A61EAB"/>
    <w:rsid w:val="00A62CBB"/>
    <w:rsid w:val="00A63244"/>
    <w:rsid w:val="00A6333A"/>
    <w:rsid w:val="00A63341"/>
    <w:rsid w:val="00A63DC1"/>
    <w:rsid w:val="00A63FFB"/>
    <w:rsid w:val="00A640FC"/>
    <w:rsid w:val="00A649C3"/>
    <w:rsid w:val="00A65325"/>
    <w:rsid w:val="00A6552B"/>
    <w:rsid w:val="00A65785"/>
    <w:rsid w:val="00A65ADD"/>
    <w:rsid w:val="00A6614E"/>
    <w:rsid w:val="00A66DE4"/>
    <w:rsid w:val="00A70B28"/>
    <w:rsid w:val="00A70C7D"/>
    <w:rsid w:val="00A71792"/>
    <w:rsid w:val="00A72546"/>
    <w:rsid w:val="00A72C89"/>
    <w:rsid w:val="00A72F13"/>
    <w:rsid w:val="00A74465"/>
    <w:rsid w:val="00A74852"/>
    <w:rsid w:val="00A75101"/>
    <w:rsid w:val="00A7515E"/>
    <w:rsid w:val="00A756F3"/>
    <w:rsid w:val="00A75ED7"/>
    <w:rsid w:val="00A8053E"/>
    <w:rsid w:val="00A81741"/>
    <w:rsid w:val="00A81A41"/>
    <w:rsid w:val="00A81B4D"/>
    <w:rsid w:val="00A8389B"/>
    <w:rsid w:val="00A83EE6"/>
    <w:rsid w:val="00A84671"/>
    <w:rsid w:val="00A8513B"/>
    <w:rsid w:val="00A877C5"/>
    <w:rsid w:val="00A90037"/>
    <w:rsid w:val="00A90393"/>
    <w:rsid w:val="00A904F1"/>
    <w:rsid w:val="00A9203F"/>
    <w:rsid w:val="00A92D76"/>
    <w:rsid w:val="00A93AE5"/>
    <w:rsid w:val="00A948BA"/>
    <w:rsid w:val="00A94D0F"/>
    <w:rsid w:val="00A957C9"/>
    <w:rsid w:val="00A95B9D"/>
    <w:rsid w:val="00A9692F"/>
    <w:rsid w:val="00A97A04"/>
    <w:rsid w:val="00AA2648"/>
    <w:rsid w:val="00AA4813"/>
    <w:rsid w:val="00AA4E0F"/>
    <w:rsid w:val="00AA51EB"/>
    <w:rsid w:val="00AA6918"/>
    <w:rsid w:val="00AA6D6F"/>
    <w:rsid w:val="00AA6DBB"/>
    <w:rsid w:val="00AA719C"/>
    <w:rsid w:val="00AB08D3"/>
    <w:rsid w:val="00AB1AB4"/>
    <w:rsid w:val="00AB4361"/>
    <w:rsid w:val="00AB45A8"/>
    <w:rsid w:val="00AB4DEF"/>
    <w:rsid w:val="00AB6228"/>
    <w:rsid w:val="00AB67CF"/>
    <w:rsid w:val="00AB743E"/>
    <w:rsid w:val="00AB7D6E"/>
    <w:rsid w:val="00AC05DD"/>
    <w:rsid w:val="00AC1F91"/>
    <w:rsid w:val="00AC2606"/>
    <w:rsid w:val="00AC33C8"/>
    <w:rsid w:val="00AC58E2"/>
    <w:rsid w:val="00AC69E1"/>
    <w:rsid w:val="00AD021D"/>
    <w:rsid w:val="00AD1114"/>
    <w:rsid w:val="00AD2277"/>
    <w:rsid w:val="00AD24CC"/>
    <w:rsid w:val="00AD28DA"/>
    <w:rsid w:val="00AD2E70"/>
    <w:rsid w:val="00AD3A1F"/>
    <w:rsid w:val="00AD3F95"/>
    <w:rsid w:val="00AD5DE0"/>
    <w:rsid w:val="00AD7043"/>
    <w:rsid w:val="00AD71F5"/>
    <w:rsid w:val="00AE0C9F"/>
    <w:rsid w:val="00AE1C0A"/>
    <w:rsid w:val="00AE1D24"/>
    <w:rsid w:val="00AE1F29"/>
    <w:rsid w:val="00AE2745"/>
    <w:rsid w:val="00AE4D81"/>
    <w:rsid w:val="00AE57B7"/>
    <w:rsid w:val="00AE5C56"/>
    <w:rsid w:val="00AE6FAA"/>
    <w:rsid w:val="00AF02F0"/>
    <w:rsid w:val="00AF0782"/>
    <w:rsid w:val="00AF0ADE"/>
    <w:rsid w:val="00AF0DAF"/>
    <w:rsid w:val="00AF1121"/>
    <w:rsid w:val="00AF14AF"/>
    <w:rsid w:val="00AF3BD5"/>
    <w:rsid w:val="00AF3E5C"/>
    <w:rsid w:val="00AF55F5"/>
    <w:rsid w:val="00AF5C28"/>
    <w:rsid w:val="00AF6887"/>
    <w:rsid w:val="00AF73F1"/>
    <w:rsid w:val="00B02F33"/>
    <w:rsid w:val="00B03D16"/>
    <w:rsid w:val="00B04622"/>
    <w:rsid w:val="00B050CE"/>
    <w:rsid w:val="00B0552C"/>
    <w:rsid w:val="00B0680D"/>
    <w:rsid w:val="00B06995"/>
    <w:rsid w:val="00B10825"/>
    <w:rsid w:val="00B11BE3"/>
    <w:rsid w:val="00B1275C"/>
    <w:rsid w:val="00B145DE"/>
    <w:rsid w:val="00B15165"/>
    <w:rsid w:val="00B153F6"/>
    <w:rsid w:val="00B168C6"/>
    <w:rsid w:val="00B17761"/>
    <w:rsid w:val="00B20460"/>
    <w:rsid w:val="00B2229F"/>
    <w:rsid w:val="00B229FB"/>
    <w:rsid w:val="00B23761"/>
    <w:rsid w:val="00B24121"/>
    <w:rsid w:val="00B245C3"/>
    <w:rsid w:val="00B24D87"/>
    <w:rsid w:val="00B25764"/>
    <w:rsid w:val="00B2790D"/>
    <w:rsid w:val="00B27E2E"/>
    <w:rsid w:val="00B30BFA"/>
    <w:rsid w:val="00B31CB6"/>
    <w:rsid w:val="00B32EDB"/>
    <w:rsid w:val="00B32FA1"/>
    <w:rsid w:val="00B33C34"/>
    <w:rsid w:val="00B33DD6"/>
    <w:rsid w:val="00B33EE5"/>
    <w:rsid w:val="00B34200"/>
    <w:rsid w:val="00B352E7"/>
    <w:rsid w:val="00B35733"/>
    <w:rsid w:val="00B3619B"/>
    <w:rsid w:val="00B3756E"/>
    <w:rsid w:val="00B37817"/>
    <w:rsid w:val="00B408AD"/>
    <w:rsid w:val="00B414E2"/>
    <w:rsid w:val="00B42754"/>
    <w:rsid w:val="00B42BFE"/>
    <w:rsid w:val="00B457A3"/>
    <w:rsid w:val="00B47A96"/>
    <w:rsid w:val="00B47B47"/>
    <w:rsid w:val="00B47EA0"/>
    <w:rsid w:val="00B52399"/>
    <w:rsid w:val="00B52416"/>
    <w:rsid w:val="00B52483"/>
    <w:rsid w:val="00B52D89"/>
    <w:rsid w:val="00B539A2"/>
    <w:rsid w:val="00B540C3"/>
    <w:rsid w:val="00B54791"/>
    <w:rsid w:val="00B55C22"/>
    <w:rsid w:val="00B563B9"/>
    <w:rsid w:val="00B564A8"/>
    <w:rsid w:val="00B573B1"/>
    <w:rsid w:val="00B579A2"/>
    <w:rsid w:val="00B603B8"/>
    <w:rsid w:val="00B60873"/>
    <w:rsid w:val="00B614F2"/>
    <w:rsid w:val="00B63AAA"/>
    <w:rsid w:val="00B63CEF"/>
    <w:rsid w:val="00B64546"/>
    <w:rsid w:val="00B6454F"/>
    <w:rsid w:val="00B679C4"/>
    <w:rsid w:val="00B7133C"/>
    <w:rsid w:val="00B71EDE"/>
    <w:rsid w:val="00B7372E"/>
    <w:rsid w:val="00B737F0"/>
    <w:rsid w:val="00B73A43"/>
    <w:rsid w:val="00B74605"/>
    <w:rsid w:val="00B74A86"/>
    <w:rsid w:val="00B75A97"/>
    <w:rsid w:val="00B75D37"/>
    <w:rsid w:val="00B767AB"/>
    <w:rsid w:val="00B77722"/>
    <w:rsid w:val="00B81AEC"/>
    <w:rsid w:val="00B81F9B"/>
    <w:rsid w:val="00B832C3"/>
    <w:rsid w:val="00B83BBF"/>
    <w:rsid w:val="00B84215"/>
    <w:rsid w:val="00B84BEC"/>
    <w:rsid w:val="00B85AD3"/>
    <w:rsid w:val="00B85BBE"/>
    <w:rsid w:val="00B8665B"/>
    <w:rsid w:val="00B869B1"/>
    <w:rsid w:val="00B90139"/>
    <w:rsid w:val="00B9054D"/>
    <w:rsid w:val="00B90701"/>
    <w:rsid w:val="00B90BDF"/>
    <w:rsid w:val="00B90CD9"/>
    <w:rsid w:val="00B90F14"/>
    <w:rsid w:val="00B91AA9"/>
    <w:rsid w:val="00B92A3D"/>
    <w:rsid w:val="00B9330C"/>
    <w:rsid w:val="00B93730"/>
    <w:rsid w:val="00B93AD6"/>
    <w:rsid w:val="00B9455E"/>
    <w:rsid w:val="00B95DF2"/>
    <w:rsid w:val="00B96270"/>
    <w:rsid w:val="00B962D5"/>
    <w:rsid w:val="00B965F2"/>
    <w:rsid w:val="00B968A4"/>
    <w:rsid w:val="00B96A02"/>
    <w:rsid w:val="00B97051"/>
    <w:rsid w:val="00B97385"/>
    <w:rsid w:val="00B97518"/>
    <w:rsid w:val="00BA08B6"/>
    <w:rsid w:val="00BA14CE"/>
    <w:rsid w:val="00BA2BC3"/>
    <w:rsid w:val="00BA2D86"/>
    <w:rsid w:val="00BA4D8D"/>
    <w:rsid w:val="00BA5A25"/>
    <w:rsid w:val="00BB0476"/>
    <w:rsid w:val="00BB188D"/>
    <w:rsid w:val="00BB19B5"/>
    <w:rsid w:val="00BB1B1C"/>
    <w:rsid w:val="00BB3046"/>
    <w:rsid w:val="00BB408E"/>
    <w:rsid w:val="00BB68E3"/>
    <w:rsid w:val="00BC00D4"/>
    <w:rsid w:val="00BC0A36"/>
    <w:rsid w:val="00BC0D5F"/>
    <w:rsid w:val="00BC1524"/>
    <w:rsid w:val="00BC24AE"/>
    <w:rsid w:val="00BC2659"/>
    <w:rsid w:val="00BC3D37"/>
    <w:rsid w:val="00BC5BB1"/>
    <w:rsid w:val="00BC5C94"/>
    <w:rsid w:val="00BC67EE"/>
    <w:rsid w:val="00BC7003"/>
    <w:rsid w:val="00BC7E15"/>
    <w:rsid w:val="00BC7F65"/>
    <w:rsid w:val="00BD0D56"/>
    <w:rsid w:val="00BD0D8A"/>
    <w:rsid w:val="00BD19D4"/>
    <w:rsid w:val="00BD21CB"/>
    <w:rsid w:val="00BD2226"/>
    <w:rsid w:val="00BD55A9"/>
    <w:rsid w:val="00BD7341"/>
    <w:rsid w:val="00BD775C"/>
    <w:rsid w:val="00BD796F"/>
    <w:rsid w:val="00BE0B97"/>
    <w:rsid w:val="00BE0F78"/>
    <w:rsid w:val="00BE1BD3"/>
    <w:rsid w:val="00BE3868"/>
    <w:rsid w:val="00BE46BA"/>
    <w:rsid w:val="00BE7243"/>
    <w:rsid w:val="00BE78AE"/>
    <w:rsid w:val="00BF204D"/>
    <w:rsid w:val="00BF25B5"/>
    <w:rsid w:val="00BF328C"/>
    <w:rsid w:val="00BF4556"/>
    <w:rsid w:val="00BF4C64"/>
    <w:rsid w:val="00BF5F12"/>
    <w:rsid w:val="00BF790E"/>
    <w:rsid w:val="00BF7D36"/>
    <w:rsid w:val="00C01D77"/>
    <w:rsid w:val="00C04BD8"/>
    <w:rsid w:val="00C05683"/>
    <w:rsid w:val="00C062FA"/>
    <w:rsid w:val="00C07A64"/>
    <w:rsid w:val="00C11C4B"/>
    <w:rsid w:val="00C11D83"/>
    <w:rsid w:val="00C1207E"/>
    <w:rsid w:val="00C135B2"/>
    <w:rsid w:val="00C137EC"/>
    <w:rsid w:val="00C15EEF"/>
    <w:rsid w:val="00C1647E"/>
    <w:rsid w:val="00C178A1"/>
    <w:rsid w:val="00C2134C"/>
    <w:rsid w:val="00C230BA"/>
    <w:rsid w:val="00C24199"/>
    <w:rsid w:val="00C24257"/>
    <w:rsid w:val="00C2476A"/>
    <w:rsid w:val="00C249D3"/>
    <w:rsid w:val="00C24AC7"/>
    <w:rsid w:val="00C257AF"/>
    <w:rsid w:val="00C261B2"/>
    <w:rsid w:val="00C26B95"/>
    <w:rsid w:val="00C26D09"/>
    <w:rsid w:val="00C27FB2"/>
    <w:rsid w:val="00C30205"/>
    <w:rsid w:val="00C31358"/>
    <w:rsid w:val="00C325DD"/>
    <w:rsid w:val="00C32C0F"/>
    <w:rsid w:val="00C33814"/>
    <w:rsid w:val="00C34216"/>
    <w:rsid w:val="00C348EC"/>
    <w:rsid w:val="00C35D78"/>
    <w:rsid w:val="00C401F6"/>
    <w:rsid w:val="00C403E8"/>
    <w:rsid w:val="00C4058B"/>
    <w:rsid w:val="00C405BE"/>
    <w:rsid w:val="00C4100B"/>
    <w:rsid w:val="00C41FC6"/>
    <w:rsid w:val="00C421EB"/>
    <w:rsid w:val="00C423C9"/>
    <w:rsid w:val="00C4447C"/>
    <w:rsid w:val="00C45B96"/>
    <w:rsid w:val="00C46F90"/>
    <w:rsid w:val="00C475CD"/>
    <w:rsid w:val="00C50424"/>
    <w:rsid w:val="00C522DE"/>
    <w:rsid w:val="00C5251A"/>
    <w:rsid w:val="00C52CFE"/>
    <w:rsid w:val="00C53BD7"/>
    <w:rsid w:val="00C54497"/>
    <w:rsid w:val="00C54BA9"/>
    <w:rsid w:val="00C55B8A"/>
    <w:rsid w:val="00C56266"/>
    <w:rsid w:val="00C56A1A"/>
    <w:rsid w:val="00C57636"/>
    <w:rsid w:val="00C604DD"/>
    <w:rsid w:val="00C60BA8"/>
    <w:rsid w:val="00C6226C"/>
    <w:rsid w:val="00C632EA"/>
    <w:rsid w:val="00C6345E"/>
    <w:rsid w:val="00C64D63"/>
    <w:rsid w:val="00C6551B"/>
    <w:rsid w:val="00C67991"/>
    <w:rsid w:val="00C67EAD"/>
    <w:rsid w:val="00C70DB5"/>
    <w:rsid w:val="00C7129A"/>
    <w:rsid w:val="00C71669"/>
    <w:rsid w:val="00C71881"/>
    <w:rsid w:val="00C71A4E"/>
    <w:rsid w:val="00C72135"/>
    <w:rsid w:val="00C7356E"/>
    <w:rsid w:val="00C74D9D"/>
    <w:rsid w:val="00C74EDB"/>
    <w:rsid w:val="00C813A5"/>
    <w:rsid w:val="00C81737"/>
    <w:rsid w:val="00C8227F"/>
    <w:rsid w:val="00C83057"/>
    <w:rsid w:val="00C8382F"/>
    <w:rsid w:val="00C8444E"/>
    <w:rsid w:val="00C84A47"/>
    <w:rsid w:val="00C84BC1"/>
    <w:rsid w:val="00C85068"/>
    <w:rsid w:val="00C855EB"/>
    <w:rsid w:val="00C85ED3"/>
    <w:rsid w:val="00C86C4D"/>
    <w:rsid w:val="00C87ED2"/>
    <w:rsid w:val="00C9082F"/>
    <w:rsid w:val="00C91F46"/>
    <w:rsid w:val="00C92639"/>
    <w:rsid w:val="00C926EC"/>
    <w:rsid w:val="00C93357"/>
    <w:rsid w:val="00C93FA0"/>
    <w:rsid w:val="00C94288"/>
    <w:rsid w:val="00C942F4"/>
    <w:rsid w:val="00C94A8B"/>
    <w:rsid w:val="00C95304"/>
    <w:rsid w:val="00C96488"/>
    <w:rsid w:val="00C96901"/>
    <w:rsid w:val="00CA01CC"/>
    <w:rsid w:val="00CA0942"/>
    <w:rsid w:val="00CA0B66"/>
    <w:rsid w:val="00CA0F3C"/>
    <w:rsid w:val="00CA10DD"/>
    <w:rsid w:val="00CA14BE"/>
    <w:rsid w:val="00CA2F67"/>
    <w:rsid w:val="00CA32F7"/>
    <w:rsid w:val="00CA4B4D"/>
    <w:rsid w:val="00CA65E3"/>
    <w:rsid w:val="00CA6774"/>
    <w:rsid w:val="00CA68DD"/>
    <w:rsid w:val="00CA6AB1"/>
    <w:rsid w:val="00CA6B9D"/>
    <w:rsid w:val="00CA6E83"/>
    <w:rsid w:val="00CA7697"/>
    <w:rsid w:val="00CB0874"/>
    <w:rsid w:val="00CB0D1F"/>
    <w:rsid w:val="00CB41F0"/>
    <w:rsid w:val="00CB44C7"/>
    <w:rsid w:val="00CB5236"/>
    <w:rsid w:val="00CB7F26"/>
    <w:rsid w:val="00CC139B"/>
    <w:rsid w:val="00CC2469"/>
    <w:rsid w:val="00CC2D22"/>
    <w:rsid w:val="00CC3F8C"/>
    <w:rsid w:val="00CC5F60"/>
    <w:rsid w:val="00CC725E"/>
    <w:rsid w:val="00CC7354"/>
    <w:rsid w:val="00CC7B62"/>
    <w:rsid w:val="00CC7BFF"/>
    <w:rsid w:val="00CC7D48"/>
    <w:rsid w:val="00CD0F40"/>
    <w:rsid w:val="00CD15F8"/>
    <w:rsid w:val="00CD2244"/>
    <w:rsid w:val="00CD303D"/>
    <w:rsid w:val="00CD5333"/>
    <w:rsid w:val="00CD5E71"/>
    <w:rsid w:val="00CD6BB4"/>
    <w:rsid w:val="00CD6CE6"/>
    <w:rsid w:val="00CE0C2E"/>
    <w:rsid w:val="00CE18AC"/>
    <w:rsid w:val="00CE2CEE"/>
    <w:rsid w:val="00CE2DBF"/>
    <w:rsid w:val="00CE3A73"/>
    <w:rsid w:val="00CE3AC4"/>
    <w:rsid w:val="00CE3E15"/>
    <w:rsid w:val="00CE433F"/>
    <w:rsid w:val="00CE5CF6"/>
    <w:rsid w:val="00CE5F85"/>
    <w:rsid w:val="00CE6037"/>
    <w:rsid w:val="00CE7211"/>
    <w:rsid w:val="00CE7A43"/>
    <w:rsid w:val="00CF00B0"/>
    <w:rsid w:val="00CF0583"/>
    <w:rsid w:val="00CF2FC8"/>
    <w:rsid w:val="00CF3258"/>
    <w:rsid w:val="00CF3528"/>
    <w:rsid w:val="00CF427B"/>
    <w:rsid w:val="00CF655A"/>
    <w:rsid w:val="00CF6595"/>
    <w:rsid w:val="00CF70B9"/>
    <w:rsid w:val="00CF7F2F"/>
    <w:rsid w:val="00D00AE6"/>
    <w:rsid w:val="00D0132F"/>
    <w:rsid w:val="00D017C4"/>
    <w:rsid w:val="00D01CB8"/>
    <w:rsid w:val="00D01F36"/>
    <w:rsid w:val="00D02692"/>
    <w:rsid w:val="00D03524"/>
    <w:rsid w:val="00D05497"/>
    <w:rsid w:val="00D06882"/>
    <w:rsid w:val="00D06FEB"/>
    <w:rsid w:val="00D074BF"/>
    <w:rsid w:val="00D07FEA"/>
    <w:rsid w:val="00D10B57"/>
    <w:rsid w:val="00D11810"/>
    <w:rsid w:val="00D13B03"/>
    <w:rsid w:val="00D14052"/>
    <w:rsid w:val="00D14A79"/>
    <w:rsid w:val="00D14E43"/>
    <w:rsid w:val="00D152F6"/>
    <w:rsid w:val="00D15BE4"/>
    <w:rsid w:val="00D15F3D"/>
    <w:rsid w:val="00D16482"/>
    <w:rsid w:val="00D16BF4"/>
    <w:rsid w:val="00D16C45"/>
    <w:rsid w:val="00D2069A"/>
    <w:rsid w:val="00D2191C"/>
    <w:rsid w:val="00D22E4E"/>
    <w:rsid w:val="00D2503C"/>
    <w:rsid w:val="00D25CFA"/>
    <w:rsid w:val="00D26258"/>
    <w:rsid w:val="00D26687"/>
    <w:rsid w:val="00D27485"/>
    <w:rsid w:val="00D27492"/>
    <w:rsid w:val="00D274E0"/>
    <w:rsid w:val="00D27D51"/>
    <w:rsid w:val="00D309DB"/>
    <w:rsid w:val="00D30B8D"/>
    <w:rsid w:val="00D30BBA"/>
    <w:rsid w:val="00D30BD2"/>
    <w:rsid w:val="00D32D98"/>
    <w:rsid w:val="00D3687F"/>
    <w:rsid w:val="00D375A0"/>
    <w:rsid w:val="00D41328"/>
    <w:rsid w:val="00D42E87"/>
    <w:rsid w:val="00D42F1E"/>
    <w:rsid w:val="00D4327A"/>
    <w:rsid w:val="00D435F3"/>
    <w:rsid w:val="00D448C8"/>
    <w:rsid w:val="00D44A2B"/>
    <w:rsid w:val="00D452E5"/>
    <w:rsid w:val="00D479AC"/>
    <w:rsid w:val="00D47C95"/>
    <w:rsid w:val="00D50B64"/>
    <w:rsid w:val="00D5296A"/>
    <w:rsid w:val="00D533FE"/>
    <w:rsid w:val="00D53530"/>
    <w:rsid w:val="00D53CEF"/>
    <w:rsid w:val="00D54CCE"/>
    <w:rsid w:val="00D571C7"/>
    <w:rsid w:val="00D577FC"/>
    <w:rsid w:val="00D6026D"/>
    <w:rsid w:val="00D607C6"/>
    <w:rsid w:val="00D6110A"/>
    <w:rsid w:val="00D6437E"/>
    <w:rsid w:val="00D67EC5"/>
    <w:rsid w:val="00D70940"/>
    <w:rsid w:val="00D709F3"/>
    <w:rsid w:val="00D70C81"/>
    <w:rsid w:val="00D71262"/>
    <w:rsid w:val="00D7180F"/>
    <w:rsid w:val="00D72F51"/>
    <w:rsid w:val="00D742A7"/>
    <w:rsid w:val="00D765DC"/>
    <w:rsid w:val="00D76E20"/>
    <w:rsid w:val="00D77302"/>
    <w:rsid w:val="00D77573"/>
    <w:rsid w:val="00D77904"/>
    <w:rsid w:val="00D8091B"/>
    <w:rsid w:val="00D8108E"/>
    <w:rsid w:val="00D815C7"/>
    <w:rsid w:val="00D83383"/>
    <w:rsid w:val="00D854C4"/>
    <w:rsid w:val="00D85BAB"/>
    <w:rsid w:val="00D85D77"/>
    <w:rsid w:val="00D863B7"/>
    <w:rsid w:val="00D8717C"/>
    <w:rsid w:val="00D87CD2"/>
    <w:rsid w:val="00D87EE4"/>
    <w:rsid w:val="00D90F5B"/>
    <w:rsid w:val="00D91870"/>
    <w:rsid w:val="00D92762"/>
    <w:rsid w:val="00D94439"/>
    <w:rsid w:val="00D95543"/>
    <w:rsid w:val="00D9773C"/>
    <w:rsid w:val="00D97E4D"/>
    <w:rsid w:val="00DA1077"/>
    <w:rsid w:val="00DA200F"/>
    <w:rsid w:val="00DA266C"/>
    <w:rsid w:val="00DA5106"/>
    <w:rsid w:val="00DA6280"/>
    <w:rsid w:val="00DA6739"/>
    <w:rsid w:val="00DA7373"/>
    <w:rsid w:val="00DB0294"/>
    <w:rsid w:val="00DB1923"/>
    <w:rsid w:val="00DB1B9D"/>
    <w:rsid w:val="00DB2312"/>
    <w:rsid w:val="00DB3459"/>
    <w:rsid w:val="00DB37A1"/>
    <w:rsid w:val="00DB45D4"/>
    <w:rsid w:val="00DB752B"/>
    <w:rsid w:val="00DB79C0"/>
    <w:rsid w:val="00DB7A8E"/>
    <w:rsid w:val="00DC02C4"/>
    <w:rsid w:val="00DC0A8F"/>
    <w:rsid w:val="00DC0E5C"/>
    <w:rsid w:val="00DC140E"/>
    <w:rsid w:val="00DC1839"/>
    <w:rsid w:val="00DC1C9C"/>
    <w:rsid w:val="00DC1CAD"/>
    <w:rsid w:val="00DC228E"/>
    <w:rsid w:val="00DC2A28"/>
    <w:rsid w:val="00DC3088"/>
    <w:rsid w:val="00DC31E5"/>
    <w:rsid w:val="00DC3D15"/>
    <w:rsid w:val="00DC5632"/>
    <w:rsid w:val="00DC5BA7"/>
    <w:rsid w:val="00DC6B4E"/>
    <w:rsid w:val="00DC7818"/>
    <w:rsid w:val="00DC7F49"/>
    <w:rsid w:val="00DD0F0D"/>
    <w:rsid w:val="00DD127D"/>
    <w:rsid w:val="00DD1610"/>
    <w:rsid w:val="00DD243F"/>
    <w:rsid w:val="00DD300C"/>
    <w:rsid w:val="00DD3AB7"/>
    <w:rsid w:val="00DD602C"/>
    <w:rsid w:val="00DD61CD"/>
    <w:rsid w:val="00DD653F"/>
    <w:rsid w:val="00DD6F4D"/>
    <w:rsid w:val="00DD6F81"/>
    <w:rsid w:val="00DE016D"/>
    <w:rsid w:val="00DE0344"/>
    <w:rsid w:val="00DE253C"/>
    <w:rsid w:val="00DE2DE1"/>
    <w:rsid w:val="00DE333D"/>
    <w:rsid w:val="00DE3F5C"/>
    <w:rsid w:val="00DE3FB0"/>
    <w:rsid w:val="00DE50E5"/>
    <w:rsid w:val="00DE58B1"/>
    <w:rsid w:val="00DE5D24"/>
    <w:rsid w:val="00DE65A5"/>
    <w:rsid w:val="00DE7650"/>
    <w:rsid w:val="00DE7AAF"/>
    <w:rsid w:val="00DE7F00"/>
    <w:rsid w:val="00DF091E"/>
    <w:rsid w:val="00DF18AF"/>
    <w:rsid w:val="00DF194C"/>
    <w:rsid w:val="00DF1B40"/>
    <w:rsid w:val="00DF1EC7"/>
    <w:rsid w:val="00DF2A11"/>
    <w:rsid w:val="00DF2B1B"/>
    <w:rsid w:val="00DF3701"/>
    <w:rsid w:val="00DF513E"/>
    <w:rsid w:val="00DF52FD"/>
    <w:rsid w:val="00DF5B0D"/>
    <w:rsid w:val="00DF7656"/>
    <w:rsid w:val="00DF7903"/>
    <w:rsid w:val="00E025E8"/>
    <w:rsid w:val="00E03C57"/>
    <w:rsid w:val="00E047DA"/>
    <w:rsid w:val="00E07DE0"/>
    <w:rsid w:val="00E107A9"/>
    <w:rsid w:val="00E1240A"/>
    <w:rsid w:val="00E12DEB"/>
    <w:rsid w:val="00E13A2A"/>
    <w:rsid w:val="00E13E6D"/>
    <w:rsid w:val="00E14D85"/>
    <w:rsid w:val="00E16D6E"/>
    <w:rsid w:val="00E17BE2"/>
    <w:rsid w:val="00E214BB"/>
    <w:rsid w:val="00E21878"/>
    <w:rsid w:val="00E22485"/>
    <w:rsid w:val="00E22D30"/>
    <w:rsid w:val="00E22DCF"/>
    <w:rsid w:val="00E23351"/>
    <w:rsid w:val="00E23B69"/>
    <w:rsid w:val="00E24183"/>
    <w:rsid w:val="00E24B11"/>
    <w:rsid w:val="00E2638C"/>
    <w:rsid w:val="00E26A5F"/>
    <w:rsid w:val="00E275B1"/>
    <w:rsid w:val="00E27C42"/>
    <w:rsid w:val="00E30E31"/>
    <w:rsid w:val="00E31CCF"/>
    <w:rsid w:val="00E32250"/>
    <w:rsid w:val="00E32526"/>
    <w:rsid w:val="00E32FD4"/>
    <w:rsid w:val="00E33333"/>
    <w:rsid w:val="00E33FC7"/>
    <w:rsid w:val="00E349FE"/>
    <w:rsid w:val="00E35351"/>
    <w:rsid w:val="00E36090"/>
    <w:rsid w:val="00E3664C"/>
    <w:rsid w:val="00E36892"/>
    <w:rsid w:val="00E36B6A"/>
    <w:rsid w:val="00E36F77"/>
    <w:rsid w:val="00E370BF"/>
    <w:rsid w:val="00E408B7"/>
    <w:rsid w:val="00E42819"/>
    <w:rsid w:val="00E44007"/>
    <w:rsid w:val="00E464AE"/>
    <w:rsid w:val="00E46520"/>
    <w:rsid w:val="00E4682C"/>
    <w:rsid w:val="00E46C0D"/>
    <w:rsid w:val="00E47402"/>
    <w:rsid w:val="00E50383"/>
    <w:rsid w:val="00E51924"/>
    <w:rsid w:val="00E529B6"/>
    <w:rsid w:val="00E52EC1"/>
    <w:rsid w:val="00E548F0"/>
    <w:rsid w:val="00E55553"/>
    <w:rsid w:val="00E56400"/>
    <w:rsid w:val="00E56FBC"/>
    <w:rsid w:val="00E57DAA"/>
    <w:rsid w:val="00E57DC6"/>
    <w:rsid w:val="00E57F7B"/>
    <w:rsid w:val="00E601A8"/>
    <w:rsid w:val="00E6069C"/>
    <w:rsid w:val="00E612CD"/>
    <w:rsid w:val="00E61A5B"/>
    <w:rsid w:val="00E63150"/>
    <w:rsid w:val="00E63992"/>
    <w:rsid w:val="00E63AE9"/>
    <w:rsid w:val="00E67968"/>
    <w:rsid w:val="00E67992"/>
    <w:rsid w:val="00E7039B"/>
    <w:rsid w:val="00E71132"/>
    <w:rsid w:val="00E721DA"/>
    <w:rsid w:val="00E72496"/>
    <w:rsid w:val="00E738EB"/>
    <w:rsid w:val="00E73CF5"/>
    <w:rsid w:val="00E74680"/>
    <w:rsid w:val="00E751B0"/>
    <w:rsid w:val="00E75E4C"/>
    <w:rsid w:val="00E75FFE"/>
    <w:rsid w:val="00E764CD"/>
    <w:rsid w:val="00E76E2B"/>
    <w:rsid w:val="00E77A19"/>
    <w:rsid w:val="00E77C19"/>
    <w:rsid w:val="00E80DD4"/>
    <w:rsid w:val="00E80E80"/>
    <w:rsid w:val="00E81A81"/>
    <w:rsid w:val="00E81D1A"/>
    <w:rsid w:val="00E81EB3"/>
    <w:rsid w:val="00E83715"/>
    <w:rsid w:val="00E83CD9"/>
    <w:rsid w:val="00E83FF6"/>
    <w:rsid w:val="00E84D51"/>
    <w:rsid w:val="00E8552F"/>
    <w:rsid w:val="00E85756"/>
    <w:rsid w:val="00E85F5C"/>
    <w:rsid w:val="00E86333"/>
    <w:rsid w:val="00E86BF4"/>
    <w:rsid w:val="00E86D8B"/>
    <w:rsid w:val="00E86DE5"/>
    <w:rsid w:val="00E87873"/>
    <w:rsid w:val="00E87A9D"/>
    <w:rsid w:val="00E90542"/>
    <w:rsid w:val="00E90EC4"/>
    <w:rsid w:val="00E92D85"/>
    <w:rsid w:val="00E9405F"/>
    <w:rsid w:val="00E945F8"/>
    <w:rsid w:val="00E946DB"/>
    <w:rsid w:val="00E94A81"/>
    <w:rsid w:val="00E94B31"/>
    <w:rsid w:val="00EA0A84"/>
    <w:rsid w:val="00EA13EE"/>
    <w:rsid w:val="00EA315E"/>
    <w:rsid w:val="00EA3460"/>
    <w:rsid w:val="00EA3967"/>
    <w:rsid w:val="00EA5287"/>
    <w:rsid w:val="00EA5A00"/>
    <w:rsid w:val="00EA6A0E"/>
    <w:rsid w:val="00EA72DA"/>
    <w:rsid w:val="00EA7ABF"/>
    <w:rsid w:val="00EB08FA"/>
    <w:rsid w:val="00EB090A"/>
    <w:rsid w:val="00EB09BB"/>
    <w:rsid w:val="00EB1365"/>
    <w:rsid w:val="00EB1CBB"/>
    <w:rsid w:val="00EB3FB5"/>
    <w:rsid w:val="00EB47F7"/>
    <w:rsid w:val="00EB4A6B"/>
    <w:rsid w:val="00EB509A"/>
    <w:rsid w:val="00EB54F0"/>
    <w:rsid w:val="00EB562E"/>
    <w:rsid w:val="00EB64DA"/>
    <w:rsid w:val="00EB6D60"/>
    <w:rsid w:val="00EB7776"/>
    <w:rsid w:val="00EB7892"/>
    <w:rsid w:val="00EB79C5"/>
    <w:rsid w:val="00EC0727"/>
    <w:rsid w:val="00EC1E6F"/>
    <w:rsid w:val="00EC5710"/>
    <w:rsid w:val="00EC66F2"/>
    <w:rsid w:val="00EC6D1A"/>
    <w:rsid w:val="00EC7250"/>
    <w:rsid w:val="00ED025F"/>
    <w:rsid w:val="00ED029A"/>
    <w:rsid w:val="00ED0E3B"/>
    <w:rsid w:val="00ED2D11"/>
    <w:rsid w:val="00ED599D"/>
    <w:rsid w:val="00ED5E13"/>
    <w:rsid w:val="00ED6F96"/>
    <w:rsid w:val="00ED78BF"/>
    <w:rsid w:val="00EE300C"/>
    <w:rsid w:val="00EE3030"/>
    <w:rsid w:val="00EE4084"/>
    <w:rsid w:val="00EE4C61"/>
    <w:rsid w:val="00EE5098"/>
    <w:rsid w:val="00EF00E8"/>
    <w:rsid w:val="00EF0505"/>
    <w:rsid w:val="00EF0804"/>
    <w:rsid w:val="00EF0C68"/>
    <w:rsid w:val="00EF25CA"/>
    <w:rsid w:val="00EF3010"/>
    <w:rsid w:val="00EF39AE"/>
    <w:rsid w:val="00EF3A9C"/>
    <w:rsid w:val="00EF3B55"/>
    <w:rsid w:val="00EF4C9E"/>
    <w:rsid w:val="00EF51D5"/>
    <w:rsid w:val="00EF5E5D"/>
    <w:rsid w:val="00EF76E0"/>
    <w:rsid w:val="00EF79DF"/>
    <w:rsid w:val="00F01CFE"/>
    <w:rsid w:val="00F01F13"/>
    <w:rsid w:val="00F03311"/>
    <w:rsid w:val="00F03D66"/>
    <w:rsid w:val="00F04514"/>
    <w:rsid w:val="00F04DD6"/>
    <w:rsid w:val="00F06F25"/>
    <w:rsid w:val="00F076FE"/>
    <w:rsid w:val="00F11439"/>
    <w:rsid w:val="00F116EF"/>
    <w:rsid w:val="00F131A1"/>
    <w:rsid w:val="00F15330"/>
    <w:rsid w:val="00F15DDB"/>
    <w:rsid w:val="00F161F2"/>
    <w:rsid w:val="00F17740"/>
    <w:rsid w:val="00F17850"/>
    <w:rsid w:val="00F2056D"/>
    <w:rsid w:val="00F20F38"/>
    <w:rsid w:val="00F222F3"/>
    <w:rsid w:val="00F228E4"/>
    <w:rsid w:val="00F22AF7"/>
    <w:rsid w:val="00F23CE1"/>
    <w:rsid w:val="00F24A01"/>
    <w:rsid w:val="00F24AEC"/>
    <w:rsid w:val="00F25809"/>
    <w:rsid w:val="00F2723C"/>
    <w:rsid w:val="00F27F0A"/>
    <w:rsid w:val="00F30D2D"/>
    <w:rsid w:val="00F32A42"/>
    <w:rsid w:val="00F33D9E"/>
    <w:rsid w:val="00F34E4B"/>
    <w:rsid w:val="00F34FA2"/>
    <w:rsid w:val="00F36DD8"/>
    <w:rsid w:val="00F37AFC"/>
    <w:rsid w:val="00F40280"/>
    <w:rsid w:val="00F4037F"/>
    <w:rsid w:val="00F41714"/>
    <w:rsid w:val="00F41809"/>
    <w:rsid w:val="00F425FB"/>
    <w:rsid w:val="00F4309B"/>
    <w:rsid w:val="00F43F7F"/>
    <w:rsid w:val="00F448E0"/>
    <w:rsid w:val="00F454C6"/>
    <w:rsid w:val="00F458AF"/>
    <w:rsid w:val="00F4718D"/>
    <w:rsid w:val="00F471CA"/>
    <w:rsid w:val="00F47610"/>
    <w:rsid w:val="00F500D0"/>
    <w:rsid w:val="00F50238"/>
    <w:rsid w:val="00F514CB"/>
    <w:rsid w:val="00F51595"/>
    <w:rsid w:val="00F51D35"/>
    <w:rsid w:val="00F525AA"/>
    <w:rsid w:val="00F53851"/>
    <w:rsid w:val="00F5453C"/>
    <w:rsid w:val="00F54A86"/>
    <w:rsid w:val="00F553D8"/>
    <w:rsid w:val="00F5650D"/>
    <w:rsid w:val="00F56EE8"/>
    <w:rsid w:val="00F572B2"/>
    <w:rsid w:val="00F57D8F"/>
    <w:rsid w:val="00F57E3E"/>
    <w:rsid w:val="00F57FDD"/>
    <w:rsid w:val="00F600E2"/>
    <w:rsid w:val="00F626CB"/>
    <w:rsid w:val="00F63AC7"/>
    <w:rsid w:val="00F63FB4"/>
    <w:rsid w:val="00F647BE"/>
    <w:rsid w:val="00F64832"/>
    <w:rsid w:val="00F648DA"/>
    <w:rsid w:val="00F64F53"/>
    <w:rsid w:val="00F653F0"/>
    <w:rsid w:val="00F66149"/>
    <w:rsid w:val="00F66EC0"/>
    <w:rsid w:val="00F6744C"/>
    <w:rsid w:val="00F710C4"/>
    <w:rsid w:val="00F7127B"/>
    <w:rsid w:val="00F71E09"/>
    <w:rsid w:val="00F71FB4"/>
    <w:rsid w:val="00F746B8"/>
    <w:rsid w:val="00F74FE0"/>
    <w:rsid w:val="00F7542D"/>
    <w:rsid w:val="00F75694"/>
    <w:rsid w:val="00F758BD"/>
    <w:rsid w:val="00F76EFE"/>
    <w:rsid w:val="00F77638"/>
    <w:rsid w:val="00F80F45"/>
    <w:rsid w:val="00F810AB"/>
    <w:rsid w:val="00F814D9"/>
    <w:rsid w:val="00F82F18"/>
    <w:rsid w:val="00F83113"/>
    <w:rsid w:val="00F83680"/>
    <w:rsid w:val="00F836DF"/>
    <w:rsid w:val="00F8432F"/>
    <w:rsid w:val="00F84ABE"/>
    <w:rsid w:val="00F856FB"/>
    <w:rsid w:val="00F91336"/>
    <w:rsid w:val="00F91636"/>
    <w:rsid w:val="00F9170B"/>
    <w:rsid w:val="00F925D5"/>
    <w:rsid w:val="00F929D7"/>
    <w:rsid w:val="00F931ED"/>
    <w:rsid w:val="00F95C8B"/>
    <w:rsid w:val="00F95D67"/>
    <w:rsid w:val="00F9620F"/>
    <w:rsid w:val="00F9667A"/>
    <w:rsid w:val="00F96AD0"/>
    <w:rsid w:val="00F96FCF"/>
    <w:rsid w:val="00F974C0"/>
    <w:rsid w:val="00F979B9"/>
    <w:rsid w:val="00FA014B"/>
    <w:rsid w:val="00FA050E"/>
    <w:rsid w:val="00FA2733"/>
    <w:rsid w:val="00FA30FF"/>
    <w:rsid w:val="00FA3AAC"/>
    <w:rsid w:val="00FA435E"/>
    <w:rsid w:val="00FA44EB"/>
    <w:rsid w:val="00FA54CC"/>
    <w:rsid w:val="00FA5D10"/>
    <w:rsid w:val="00FA62BC"/>
    <w:rsid w:val="00FA6ABD"/>
    <w:rsid w:val="00FA703B"/>
    <w:rsid w:val="00FA7310"/>
    <w:rsid w:val="00FB0317"/>
    <w:rsid w:val="00FB07B4"/>
    <w:rsid w:val="00FB0CD3"/>
    <w:rsid w:val="00FB13FE"/>
    <w:rsid w:val="00FB2853"/>
    <w:rsid w:val="00FB380E"/>
    <w:rsid w:val="00FB3F09"/>
    <w:rsid w:val="00FB5189"/>
    <w:rsid w:val="00FB62DE"/>
    <w:rsid w:val="00FB699E"/>
    <w:rsid w:val="00FC0045"/>
    <w:rsid w:val="00FC0141"/>
    <w:rsid w:val="00FC0191"/>
    <w:rsid w:val="00FC1300"/>
    <w:rsid w:val="00FC14C4"/>
    <w:rsid w:val="00FC2851"/>
    <w:rsid w:val="00FC3202"/>
    <w:rsid w:val="00FC3686"/>
    <w:rsid w:val="00FC3AF4"/>
    <w:rsid w:val="00FC3B48"/>
    <w:rsid w:val="00FC3BC7"/>
    <w:rsid w:val="00FC3C6D"/>
    <w:rsid w:val="00FC4B0A"/>
    <w:rsid w:val="00FC4E55"/>
    <w:rsid w:val="00FC5DEA"/>
    <w:rsid w:val="00FC65A1"/>
    <w:rsid w:val="00FC6C37"/>
    <w:rsid w:val="00FC6DF5"/>
    <w:rsid w:val="00FD0E24"/>
    <w:rsid w:val="00FD3E1E"/>
    <w:rsid w:val="00FD4762"/>
    <w:rsid w:val="00FD523C"/>
    <w:rsid w:val="00FD547B"/>
    <w:rsid w:val="00FD5E88"/>
    <w:rsid w:val="00FD6073"/>
    <w:rsid w:val="00FD751A"/>
    <w:rsid w:val="00FD78AE"/>
    <w:rsid w:val="00FE02BC"/>
    <w:rsid w:val="00FE0FC4"/>
    <w:rsid w:val="00FE1587"/>
    <w:rsid w:val="00FE1649"/>
    <w:rsid w:val="00FE2808"/>
    <w:rsid w:val="00FE3077"/>
    <w:rsid w:val="00FE31EA"/>
    <w:rsid w:val="00FE32A7"/>
    <w:rsid w:val="00FE3847"/>
    <w:rsid w:val="00FE44AB"/>
    <w:rsid w:val="00FE4B56"/>
    <w:rsid w:val="00FE5159"/>
    <w:rsid w:val="00FE543A"/>
    <w:rsid w:val="00FE6534"/>
    <w:rsid w:val="00FE6897"/>
    <w:rsid w:val="00FE6FC7"/>
    <w:rsid w:val="00FE706B"/>
    <w:rsid w:val="00FE7739"/>
    <w:rsid w:val="00FF1086"/>
    <w:rsid w:val="00FF14C6"/>
    <w:rsid w:val="00FF2ADB"/>
    <w:rsid w:val="00FF3283"/>
    <w:rsid w:val="00FF3845"/>
    <w:rsid w:val="00FF3DB6"/>
    <w:rsid w:val="00FF3F54"/>
    <w:rsid w:val="00FF4CAB"/>
    <w:rsid w:val="00FF76CA"/>
    <w:rsid w:val="00FF79DD"/>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A7FEB"/>
  <w15:docId w15:val="{C9FF8D95-004D-46EB-AE53-654725545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580"/>
  </w:style>
  <w:style w:type="paragraph" w:styleId="Heading1">
    <w:name w:val="heading 1"/>
    <w:basedOn w:val="Normal"/>
    <w:next w:val="Normal"/>
    <w:link w:val="Heading1Char"/>
    <w:uiPriority w:val="9"/>
    <w:qFormat/>
    <w:rsid w:val="007C18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9F353F"/>
    <w:pPr>
      <w:widowControl w:val="0"/>
      <w:spacing w:after="0" w:line="240" w:lineRule="auto"/>
      <w:ind w:left="1250"/>
      <w:outlineLvl w:val="1"/>
    </w:pPr>
    <w:rPr>
      <w:rFonts w:ascii="Arial" w:eastAsia="Arial" w:hAnsi="Arial"/>
      <w:b/>
      <w:bCs/>
      <w:sz w:val="28"/>
      <w:szCs w:val="28"/>
      <w:lang w:val="en-US"/>
    </w:rPr>
  </w:style>
  <w:style w:type="paragraph" w:styleId="Heading3">
    <w:name w:val="heading 3"/>
    <w:basedOn w:val="Normal"/>
    <w:link w:val="Heading3Char"/>
    <w:uiPriority w:val="1"/>
    <w:qFormat/>
    <w:rsid w:val="009F353F"/>
    <w:pPr>
      <w:widowControl w:val="0"/>
      <w:spacing w:after="0" w:line="240" w:lineRule="auto"/>
      <w:ind w:left="186"/>
      <w:outlineLvl w:val="2"/>
    </w:pPr>
    <w:rPr>
      <w:rFonts w:ascii="Arial" w:eastAsia="Arial" w:hAnsi="Arial"/>
      <w:b/>
      <w:bCs/>
      <w:i/>
      <w:sz w:val="24"/>
      <w:szCs w:val="24"/>
      <w:lang w:val="en-US"/>
    </w:rPr>
  </w:style>
  <w:style w:type="paragraph" w:styleId="Heading4">
    <w:name w:val="heading 4"/>
    <w:basedOn w:val="Normal"/>
    <w:link w:val="Heading4Char"/>
    <w:uiPriority w:val="1"/>
    <w:qFormat/>
    <w:rsid w:val="009F353F"/>
    <w:pPr>
      <w:widowControl w:val="0"/>
      <w:spacing w:after="0" w:line="240" w:lineRule="auto"/>
      <w:ind w:left="5969"/>
      <w:outlineLvl w:val="3"/>
    </w:pPr>
    <w:rPr>
      <w:rFonts w:ascii="Arial" w:eastAsia="Arial" w:hAnsi="Arial"/>
      <w:b/>
      <w:bCs/>
      <w:lang w:val="en-US"/>
    </w:rPr>
  </w:style>
  <w:style w:type="paragraph" w:styleId="Heading5">
    <w:name w:val="heading 5"/>
    <w:basedOn w:val="Normal"/>
    <w:link w:val="Heading5Char"/>
    <w:uiPriority w:val="1"/>
    <w:qFormat/>
    <w:rsid w:val="009F353F"/>
    <w:pPr>
      <w:widowControl w:val="0"/>
      <w:spacing w:after="0" w:line="240" w:lineRule="auto"/>
      <w:ind w:left="186"/>
      <w:outlineLvl w:val="4"/>
    </w:pPr>
    <w:rPr>
      <w:rFonts w:ascii="Arial" w:eastAsia="Arial" w:hAnsi="Arial"/>
      <w:b/>
      <w:bCs/>
      <w:sz w:val="21"/>
      <w:szCs w:val="21"/>
      <w:lang w:val="en-US"/>
    </w:rPr>
  </w:style>
  <w:style w:type="paragraph" w:styleId="Heading6">
    <w:name w:val="heading 6"/>
    <w:basedOn w:val="Normal"/>
    <w:link w:val="Heading6Char"/>
    <w:uiPriority w:val="1"/>
    <w:qFormat/>
    <w:rsid w:val="009F353F"/>
    <w:pPr>
      <w:widowControl w:val="0"/>
      <w:spacing w:after="0" w:line="240" w:lineRule="auto"/>
      <w:ind w:left="185"/>
      <w:outlineLvl w:val="5"/>
    </w:pPr>
    <w:rPr>
      <w:rFonts w:ascii="Arial" w:eastAsia="Arial" w:hAnsi="Arial"/>
      <w:b/>
      <w:bCs/>
      <w:sz w:val="19"/>
      <w:szCs w:val="19"/>
      <w:lang w:val="en-US"/>
    </w:rPr>
  </w:style>
  <w:style w:type="paragraph" w:styleId="Heading7">
    <w:name w:val="heading 7"/>
    <w:basedOn w:val="Normal"/>
    <w:link w:val="Heading7Char"/>
    <w:uiPriority w:val="1"/>
    <w:qFormat/>
    <w:rsid w:val="009F353F"/>
    <w:pPr>
      <w:widowControl w:val="0"/>
      <w:spacing w:after="0" w:line="240" w:lineRule="auto"/>
      <w:outlineLvl w:val="6"/>
    </w:pPr>
    <w:rPr>
      <w:rFonts w:ascii="Arial" w:eastAsia="Arial" w:hAnsi="Arial"/>
      <w:b/>
      <w:bCs/>
      <w:sz w:val="18"/>
      <w:szCs w:val="18"/>
      <w:lang w:val="en-US"/>
    </w:rPr>
  </w:style>
  <w:style w:type="paragraph" w:styleId="Heading8">
    <w:name w:val="heading 8"/>
    <w:basedOn w:val="Normal"/>
    <w:link w:val="Heading8Char"/>
    <w:uiPriority w:val="1"/>
    <w:qFormat/>
    <w:rsid w:val="009F353F"/>
    <w:pPr>
      <w:widowControl w:val="0"/>
      <w:spacing w:after="0" w:line="240" w:lineRule="auto"/>
      <w:ind w:left="1250"/>
      <w:outlineLvl w:val="7"/>
    </w:pPr>
    <w:rPr>
      <w:rFonts w:ascii="Arial" w:eastAsia="Arial" w:hAnsi="Arial"/>
      <w:i/>
      <w:sz w:val="17"/>
      <w:szCs w:val="17"/>
      <w:lang w:val="en-US"/>
    </w:rPr>
  </w:style>
  <w:style w:type="paragraph" w:styleId="Heading9">
    <w:name w:val="heading 9"/>
    <w:basedOn w:val="Normal"/>
    <w:link w:val="Heading9Char"/>
    <w:uiPriority w:val="1"/>
    <w:qFormat/>
    <w:rsid w:val="009F353F"/>
    <w:pPr>
      <w:widowControl w:val="0"/>
      <w:spacing w:after="0" w:line="240" w:lineRule="auto"/>
      <w:ind w:left="1647"/>
      <w:outlineLvl w:val="8"/>
    </w:pPr>
    <w:rPr>
      <w:rFonts w:ascii="Arial" w:eastAsia="Arial" w:hAnsi="Arial"/>
      <w:b/>
      <w:bC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0E3"/>
    <w:pPr>
      <w:ind w:left="720"/>
      <w:contextualSpacing/>
    </w:pPr>
  </w:style>
  <w:style w:type="paragraph" w:styleId="BalloonText">
    <w:name w:val="Balloon Text"/>
    <w:basedOn w:val="Normal"/>
    <w:link w:val="BalloonTextChar"/>
    <w:uiPriority w:val="99"/>
    <w:semiHidden/>
    <w:unhideWhenUsed/>
    <w:rsid w:val="00BC0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A36"/>
    <w:rPr>
      <w:rFonts w:ascii="Tahoma" w:hAnsi="Tahoma" w:cs="Tahoma"/>
      <w:sz w:val="16"/>
      <w:szCs w:val="16"/>
    </w:rPr>
  </w:style>
  <w:style w:type="character" w:customStyle="1" w:styleId="Heading1Char">
    <w:name w:val="Heading 1 Char"/>
    <w:basedOn w:val="DefaultParagraphFont"/>
    <w:link w:val="Heading1"/>
    <w:uiPriority w:val="9"/>
    <w:rsid w:val="007C18A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C18A7"/>
    <w:pPr>
      <w:outlineLvl w:val="9"/>
    </w:pPr>
    <w:rPr>
      <w:lang w:eastAsia="es-ES"/>
    </w:rPr>
  </w:style>
  <w:style w:type="paragraph" w:styleId="Bibliography">
    <w:name w:val="Bibliography"/>
    <w:basedOn w:val="Normal"/>
    <w:next w:val="Normal"/>
    <w:uiPriority w:val="37"/>
    <w:unhideWhenUsed/>
    <w:rsid w:val="007C18A7"/>
  </w:style>
  <w:style w:type="table" w:styleId="TableGrid">
    <w:name w:val="Table Grid"/>
    <w:basedOn w:val="TableNormal"/>
    <w:uiPriority w:val="39"/>
    <w:rsid w:val="00081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9F353F"/>
    <w:rPr>
      <w:rFonts w:ascii="Arial" w:eastAsia="Arial" w:hAnsi="Arial"/>
      <w:b/>
      <w:bCs/>
      <w:sz w:val="28"/>
      <w:szCs w:val="28"/>
      <w:lang w:val="en-US"/>
    </w:rPr>
  </w:style>
  <w:style w:type="character" w:customStyle="1" w:styleId="Heading3Char">
    <w:name w:val="Heading 3 Char"/>
    <w:basedOn w:val="DefaultParagraphFont"/>
    <w:link w:val="Heading3"/>
    <w:uiPriority w:val="1"/>
    <w:rsid w:val="009F353F"/>
    <w:rPr>
      <w:rFonts w:ascii="Arial" w:eastAsia="Arial" w:hAnsi="Arial"/>
      <w:b/>
      <w:bCs/>
      <w:i/>
      <w:sz w:val="24"/>
      <w:szCs w:val="24"/>
      <w:lang w:val="en-US"/>
    </w:rPr>
  </w:style>
  <w:style w:type="character" w:customStyle="1" w:styleId="Heading4Char">
    <w:name w:val="Heading 4 Char"/>
    <w:basedOn w:val="DefaultParagraphFont"/>
    <w:link w:val="Heading4"/>
    <w:uiPriority w:val="1"/>
    <w:rsid w:val="009F353F"/>
    <w:rPr>
      <w:rFonts w:ascii="Arial" w:eastAsia="Arial" w:hAnsi="Arial"/>
      <w:b/>
      <w:bCs/>
      <w:lang w:val="en-US"/>
    </w:rPr>
  </w:style>
  <w:style w:type="character" w:customStyle="1" w:styleId="Heading5Char">
    <w:name w:val="Heading 5 Char"/>
    <w:basedOn w:val="DefaultParagraphFont"/>
    <w:link w:val="Heading5"/>
    <w:uiPriority w:val="1"/>
    <w:rsid w:val="009F353F"/>
    <w:rPr>
      <w:rFonts w:ascii="Arial" w:eastAsia="Arial" w:hAnsi="Arial"/>
      <w:b/>
      <w:bCs/>
      <w:sz w:val="21"/>
      <w:szCs w:val="21"/>
      <w:lang w:val="en-US"/>
    </w:rPr>
  </w:style>
  <w:style w:type="character" w:customStyle="1" w:styleId="Heading6Char">
    <w:name w:val="Heading 6 Char"/>
    <w:basedOn w:val="DefaultParagraphFont"/>
    <w:link w:val="Heading6"/>
    <w:uiPriority w:val="1"/>
    <w:rsid w:val="009F353F"/>
    <w:rPr>
      <w:rFonts w:ascii="Arial" w:eastAsia="Arial" w:hAnsi="Arial"/>
      <w:b/>
      <w:bCs/>
      <w:sz w:val="19"/>
      <w:szCs w:val="19"/>
      <w:lang w:val="en-US"/>
    </w:rPr>
  </w:style>
  <w:style w:type="character" w:customStyle="1" w:styleId="Heading7Char">
    <w:name w:val="Heading 7 Char"/>
    <w:basedOn w:val="DefaultParagraphFont"/>
    <w:link w:val="Heading7"/>
    <w:uiPriority w:val="1"/>
    <w:rsid w:val="009F353F"/>
    <w:rPr>
      <w:rFonts w:ascii="Arial" w:eastAsia="Arial" w:hAnsi="Arial"/>
      <w:b/>
      <w:bCs/>
      <w:sz w:val="18"/>
      <w:szCs w:val="18"/>
      <w:lang w:val="en-US"/>
    </w:rPr>
  </w:style>
  <w:style w:type="character" w:customStyle="1" w:styleId="Heading8Char">
    <w:name w:val="Heading 8 Char"/>
    <w:basedOn w:val="DefaultParagraphFont"/>
    <w:link w:val="Heading8"/>
    <w:uiPriority w:val="1"/>
    <w:rsid w:val="009F353F"/>
    <w:rPr>
      <w:rFonts w:ascii="Arial" w:eastAsia="Arial" w:hAnsi="Arial"/>
      <w:i/>
      <w:sz w:val="17"/>
      <w:szCs w:val="17"/>
      <w:lang w:val="en-US"/>
    </w:rPr>
  </w:style>
  <w:style w:type="character" w:customStyle="1" w:styleId="Heading9Char">
    <w:name w:val="Heading 9 Char"/>
    <w:basedOn w:val="DefaultParagraphFont"/>
    <w:link w:val="Heading9"/>
    <w:uiPriority w:val="1"/>
    <w:rsid w:val="009F353F"/>
    <w:rPr>
      <w:rFonts w:ascii="Arial" w:eastAsia="Arial" w:hAnsi="Arial"/>
      <w:b/>
      <w:bCs/>
      <w:sz w:val="16"/>
      <w:szCs w:val="16"/>
      <w:lang w:val="en-US"/>
    </w:rPr>
  </w:style>
  <w:style w:type="table" w:customStyle="1" w:styleId="TableNormal1">
    <w:name w:val="Table Normal1"/>
    <w:uiPriority w:val="2"/>
    <w:semiHidden/>
    <w:unhideWhenUsed/>
    <w:qFormat/>
    <w:rsid w:val="009F353F"/>
    <w:pPr>
      <w:widowControl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9F353F"/>
    <w:pPr>
      <w:widowControl w:val="0"/>
      <w:spacing w:before="1" w:after="0" w:line="240" w:lineRule="auto"/>
      <w:ind w:left="1250"/>
    </w:pPr>
    <w:rPr>
      <w:rFonts w:ascii="Arial" w:eastAsia="Arial" w:hAnsi="Arial"/>
      <w:sz w:val="16"/>
      <w:szCs w:val="16"/>
      <w:lang w:val="en-US"/>
    </w:rPr>
  </w:style>
  <w:style w:type="character" w:customStyle="1" w:styleId="BodyTextChar">
    <w:name w:val="Body Text Char"/>
    <w:basedOn w:val="DefaultParagraphFont"/>
    <w:link w:val="BodyText"/>
    <w:uiPriority w:val="1"/>
    <w:rsid w:val="009F353F"/>
    <w:rPr>
      <w:rFonts w:ascii="Arial" w:eastAsia="Arial" w:hAnsi="Arial"/>
      <w:sz w:val="16"/>
      <w:szCs w:val="16"/>
      <w:lang w:val="en-US"/>
    </w:rPr>
  </w:style>
  <w:style w:type="paragraph" w:customStyle="1" w:styleId="TableParagraph">
    <w:name w:val="Table Paragraph"/>
    <w:basedOn w:val="Normal"/>
    <w:uiPriority w:val="1"/>
    <w:qFormat/>
    <w:rsid w:val="009F353F"/>
    <w:pPr>
      <w:widowControl w:val="0"/>
      <w:spacing w:after="0" w:line="240" w:lineRule="auto"/>
    </w:pPr>
    <w:rPr>
      <w:lang w:val="en-US"/>
    </w:rPr>
  </w:style>
  <w:style w:type="table" w:styleId="ColorfulList-Accent6">
    <w:name w:val="Colorful List Accent 6"/>
    <w:basedOn w:val="TableNormal"/>
    <w:uiPriority w:val="72"/>
    <w:rsid w:val="00681C8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Caption">
    <w:name w:val="caption"/>
    <w:basedOn w:val="Normal"/>
    <w:next w:val="Normal"/>
    <w:uiPriority w:val="35"/>
    <w:unhideWhenUsed/>
    <w:qFormat/>
    <w:rsid w:val="00E24183"/>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2A372C"/>
    <w:pPr>
      <w:spacing w:after="0"/>
    </w:pPr>
  </w:style>
  <w:style w:type="character" w:styleId="Hyperlink">
    <w:name w:val="Hyperlink"/>
    <w:basedOn w:val="DefaultParagraphFont"/>
    <w:uiPriority w:val="99"/>
    <w:unhideWhenUsed/>
    <w:rsid w:val="002A372C"/>
    <w:rPr>
      <w:color w:val="0000FF" w:themeColor="hyperlink"/>
      <w:u w:val="single"/>
    </w:rPr>
  </w:style>
  <w:style w:type="paragraph" w:customStyle="1" w:styleId="Default">
    <w:name w:val="Default"/>
    <w:rsid w:val="00410A29"/>
    <w:pPr>
      <w:autoSpaceDE w:val="0"/>
      <w:autoSpaceDN w:val="0"/>
      <w:adjustRightInd w:val="0"/>
      <w:spacing w:after="0" w:line="240" w:lineRule="auto"/>
    </w:pPr>
    <w:rPr>
      <w:rFonts w:ascii="Times New Roman" w:hAnsi="Times New Roman" w:cs="Times New Roman"/>
      <w:color w:val="000000"/>
      <w:sz w:val="24"/>
      <w:szCs w:val="24"/>
    </w:rPr>
  </w:style>
  <w:style w:type="table" w:styleId="LightList-Accent1">
    <w:name w:val="Light List Accent 1"/>
    <w:basedOn w:val="TableNormal"/>
    <w:uiPriority w:val="61"/>
    <w:rsid w:val="00410A2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1E35C3"/>
    <w:rPr>
      <w:color w:val="808080"/>
    </w:rPr>
  </w:style>
  <w:style w:type="character" w:styleId="LineNumber">
    <w:name w:val="line number"/>
    <w:basedOn w:val="DefaultParagraphFont"/>
    <w:uiPriority w:val="99"/>
    <w:semiHidden/>
    <w:unhideWhenUsed/>
    <w:rsid w:val="00282209"/>
  </w:style>
  <w:style w:type="paragraph" w:styleId="Header">
    <w:name w:val="header"/>
    <w:basedOn w:val="Normal"/>
    <w:link w:val="HeaderChar"/>
    <w:uiPriority w:val="99"/>
    <w:unhideWhenUsed/>
    <w:rsid w:val="00EB6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D60"/>
  </w:style>
  <w:style w:type="paragraph" w:styleId="Footer">
    <w:name w:val="footer"/>
    <w:basedOn w:val="Normal"/>
    <w:link w:val="FooterChar"/>
    <w:uiPriority w:val="99"/>
    <w:unhideWhenUsed/>
    <w:rsid w:val="00EB6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D60"/>
  </w:style>
  <w:style w:type="table" w:customStyle="1" w:styleId="GridTable1Light1">
    <w:name w:val="Grid Table 1 Light1"/>
    <w:basedOn w:val="TableNormal"/>
    <w:uiPriority w:val="46"/>
    <w:rsid w:val="005C342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unhideWhenUsed/>
    <w:rsid w:val="00651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PreformattedChar">
    <w:name w:val="HTML Preformatted Char"/>
    <w:basedOn w:val="DefaultParagraphFont"/>
    <w:link w:val="HTMLPreformatted"/>
    <w:uiPriority w:val="99"/>
    <w:rsid w:val="0065182A"/>
    <w:rPr>
      <w:rFonts w:ascii="Courier New" w:eastAsia="Times New Roman" w:hAnsi="Courier New" w:cs="Courier New"/>
      <w:sz w:val="20"/>
      <w:szCs w:val="20"/>
      <w:lang w:eastAsia="es-ES"/>
    </w:rPr>
  </w:style>
  <w:style w:type="character" w:styleId="CommentReference">
    <w:name w:val="annotation reference"/>
    <w:basedOn w:val="DefaultParagraphFont"/>
    <w:uiPriority w:val="99"/>
    <w:semiHidden/>
    <w:unhideWhenUsed/>
    <w:rsid w:val="00622BBA"/>
    <w:rPr>
      <w:sz w:val="16"/>
      <w:szCs w:val="16"/>
    </w:rPr>
  </w:style>
  <w:style w:type="paragraph" w:styleId="CommentText">
    <w:name w:val="annotation text"/>
    <w:basedOn w:val="Normal"/>
    <w:link w:val="CommentTextChar"/>
    <w:uiPriority w:val="99"/>
    <w:unhideWhenUsed/>
    <w:rsid w:val="00622BBA"/>
    <w:pPr>
      <w:spacing w:line="240" w:lineRule="auto"/>
    </w:pPr>
    <w:rPr>
      <w:sz w:val="20"/>
      <w:szCs w:val="20"/>
    </w:rPr>
  </w:style>
  <w:style w:type="character" w:customStyle="1" w:styleId="CommentTextChar">
    <w:name w:val="Comment Text Char"/>
    <w:basedOn w:val="DefaultParagraphFont"/>
    <w:link w:val="CommentText"/>
    <w:uiPriority w:val="99"/>
    <w:rsid w:val="00622BBA"/>
    <w:rPr>
      <w:sz w:val="20"/>
      <w:szCs w:val="20"/>
    </w:rPr>
  </w:style>
  <w:style w:type="paragraph" w:styleId="CommentSubject">
    <w:name w:val="annotation subject"/>
    <w:basedOn w:val="CommentText"/>
    <w:next w:val="CommentText"/>
    <w:link w:val="CommentSubjectChar"/>
    <w:uiPriority w:val="99"/>
    <w:semiHidden/>
    <w:unhideWhenUsed/>
    <w:rsid w:val="00622BBA"/>
    <w:rPr>
      <w:b/>
      <w:bCs/>
    </w:rPr>
  </w:style>
  <w:style w:type="character" w:customStyle="1" w:styleId="CommentSubjectChar">
    <w:name w:val="Comment Subject Char"/>
    <w:basedOn w:val="CommentTextChar"/>
    <w:link w:val="CommentSubject"/>
    <w:uiPriority w:val="99"/>
    <w:semiHidden/>
    <w:rsid w:val="00622BBA"/>
    <w:rPr>
      <w:b/>
      <w:bCs/>
      <w:sz w:val="20"/>
      <w:szCs w:val="20"/>
    </w:rPr>
  </w:style>
  <w:style w:type="paragraph" w:styleId="Revision">
    <w:name w:val="Revision"/>
    <w:hidden/>
    <w:uiPriority w:val="99"/>
    <w:semiHidden/>
    <w:rsid w:val="00F758BD"/>
    <w:pPr>
      <w:spacing w:after="0" w:line="240" w:lineRule="auto"/>
    </w:pPr>
  </w:style>
  <w:style w:type="table" w:customStyle="1" w:styleId="PlainTable31">
    <w:name w:val="Plain Table 31"/>
    <w:basedOn w:val="TableNormal"/>
    <w:uiPriority w:val="43"/>
    <w:rsid w:val="00F56EE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F56EE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F56E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6E0DA3"/>
    <w:rPr>
      <w:b/>
      <w:bCs/>
    </w:rPr>
  </w:style>
  <w:style w:type="table" w:styleId="ListTable6Colorful">
    <w:name w:val="List Table 6 Colorful"/>
    <w:basedOn w:val="TableNormal"/>
    <w:uiPriority w:val="51"/>
    <w:rsid w:val="00F525AA"/>
    <w:pPr>
      <w:spacing w:after="0" w:line="240" w:lineRule="auto"/>
    </w:pPr>
    <w:rPr>
      <w:rFonts w:eastAsiaTheme="minorEastAsia"/>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inguno">
    <w:name w:val="Ninguno"/>
    <w:rsid w:val="000D46BE"/>
  </w:style>
  <w:style w:type="character" w:customStyle="1" w:styleId="UnresolvedMention1">
    <w:name w:val="Unresolved Mention1"/>
    <w:basedOn w:val="DefaultParagraphFont"/>
    <w:uiPriority w:val="99"/>
    <w:semiHidden/>
    <w:unhideWhenUsed/>
    <w:rsid w:val="008B387E"/>
    <w:rPr>
      <w:color w:val="605E5C"/>
      <w:shd w:val="clear" w:color="auto" w:fill="E1DFDD"/>
    </w:rPr>
  </w:style>
  <w:style w:type="character" w:styleId="Emphasis">
    <w:name w:val="Emphasis"/>
    <w:basedOn w:val="DefaultParagraphFont"/>
    <w:uiPriority w:val="20"/>
    <w:qFormat/>
    <w:rsid w:val="00CD0F40"/>
    <w:rPr>
      <w:i/>
      <w:iCs/>
    </w:rPr>
  </w:style>
  <w:style w:type="character" w:customStyle="1" w:styleId="u-visually-hidden">
    <w:name w:val="u-visually-hidden"/>
    <w:basedOn w:val="DefaultParagraphFont"/>
    <w:rsid w:val="009E0158"/>
  </w:style>
  <w:style w:type="character" w:customStyle="1" w:styleId="title-text">
    <w:name w:val="title-text"/>
    <w:basedOn w:val="DefaultParagraphFont"/>
    <w:rsid w:val="00EA5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308">
      <w:bodyDiv w:val="1"/>
      <w:marLeft w:val="0"/>
      <w:marRight w:val="0"/>
      <w:marTop w:val="0"/>
      <w:marBottom w:val="0"/>
      <w:divBdr>
        <w:top w:val="none" w:sz="0" w:space="0" w:color="auto"/>
        <w:left w:val="none" w:sz="0" w:space="0" w:color="auto"/>
        <w:bottom w:val="none" w:sz="0" w:space="0" w:color="auto"/>
        <w:right w:val="none" w:sz="0" w:space="0" w:color="auto"/>
      </w:divBdr>
    </w:div>
    <w:div w:id="3553223">
      <w:bodyDiv w:val="1"/>
      <w:marLeft w:val="0"/>
      <w:marRight w:val="0"/>
      <w:marTop w:val="0"/>
      <w:marBottom w:val="0"/>
      <w:divBdr>
        <w:top w:val="none" w:sz="0" w:space="0" w:color="auto"/>
        <w:left w:val="none" w:sz="0" w:space="0" w:color="auto"/>
        <w:bottom w:val="none" w:sz="0" w:space="0" w:color="auto"/>
        <w:right w:val="none" w:sz="0" w:space="0" w:color="auto"/>
      </w:divBdr>
    </w:div>
    <w:div w:id="5524141">
      <w:bodyDiv w:val="1"/>
      <w:marLeft w:val="0"/>
      <w:marRight w:val="0"/>
      <w:marTop w:val="0"/>
      <w:marBottom w:val="0"/>
      <w:divBdr>
        <w:top w:val="none" w:sz="0" w:space="0" w:color="auto"/>
        <w:left w:val="none" w:sz="0" w:space="0" w:color="auto"/>
        <w:bottom w:val="none" w:sz="0" w:space="0" w:color="auto"/>
        <w:right w:val="none" w:sz="0" w:space="0" w:color="auto"/>
      </w:divBdr>
    </w:div>
    <w:div w:id="5838561">
      <w:bodyDiv w:val="1"/>
      <w:marLeft w:val="0"/>
      <w:marRight w:val="0"/>
      <w:marTop w:val="0"/>
      <w:marBottom w:val="0"/>
      <w:divBdr>
        <w:top w:val="none" w:sz="0" w:space="0" w:color="auto"/>
        <w:left w:val="none" w:sz="0" w:space="0" w:color="auto"/>
        <w:bottom w:val="none" w:sz="0" w:space="0" w:color="auto"/>
        <w:right w:val="none" w:sz="0" w:space="0" w:color="auto"/>
      </w:divBdr>
    </w:div>
    <w:div w:id="8223202">
      <w:bodyDiv w:val="1"/>
      <w:marLeft w:val="0"/>
      <w:marRight w:val="0"/>
      <w:marTop w:val="0"/>
      <w:marBottom w:val="0"/>
      <w:divBdr>
        <w:top w:val="none" w:sz="0" w:space="0" w:color="auto"/>
        <w:left w:val="none" w:sz="0" w:space="0" w:color="auto"/>
        <w:bottom w:val="none" w:sz="0" w:space="0" w:color="auto"/>
        <w:right w:val="none" w:sz="0" w:space="0" w:color="auto"/>
      </w:divBdr>
    </w:div>
    <w:div w:id="17237439">
      <w:bodyDiv w:val="1"/>
      <w:marLeft w:val="0"/>
      <w:marRight w:val="0"/>
      <w:marTop w:val="0"/>
      <w:marBottom w:val="0"/>
      <w:divBdr>
        <w:top w:val="none" w:sz="0" w:space="0" w:color="auto"/>
        <w:left w:val="none" w:sz="0" w:space="0" w:color="auto"/>
        <w:bottom w:val="none" w:sz="0" w:space="0" w:color="auto"/>
        <w:right w:val="none" w:sz="0" w:space="0" w:color="auto"/>
      </w:divBdr>
    </w:div>
    <w:div w:id="18703593">
      <w:bodyDiv w:val="1"/>
      <w:marLeft w:val="0"/>
      <w:marRight w:val="0"/>
      <w:marTop w:val="0"/>
      <w:marBottom w:val="0"/>
      <w:divBdr>
        <w:top w:val="none" w:sz="0" w:space="0" w:color="auto"/>
        <w:left w:val="none" w:sz="0" w:space="0" w:color="auto"/>
        <w:bottom w:val="none" w:sz="0" w:space="0" w:color="auto"/>
        <w:right w:val="none" w:sz="0" w:space="0" w:color="auto"/>
      </w:divBdr>
    </w:div>
    <w:div w:id="26683894">
      <w:bodyDiv w:val="1"/>
      <w:marLeft w:val="0"/>
      <w:marRight w:val="0"/>
      <w:marTop w:val="0"/>
      <w:marBottom w:val="0"/>
      <w:divBdr>
        <w:top w:val="none" w:sz="0" w:space="0" w:color="auto"/>
        <w:left w:val="none" w:sz="0" w:space="0" w:color="auto"/>
        <w:bottom w:val="none" w:sz="0" w:space="0" w:color="auto"/>
        <w:right w:val="none" w:sz="0" w:space="0" w:color="auto"/>
      </w:divBdr>
    </w:div>
    <w:div w:id="31929866">
      <w:bodyDiv w:val="1"/>
      <w:marLeft w:val="0"/>
      <w:marRight w:val="0"/>
      <w:marTop w:val="0"/>
      <w:marBottom w:val="0"/>
      <w:divBdr>
        <w:top w:val="none" w:sz="0" w:space="0" w:color="auto"/>
        <w:left w:val="none" w:sz="0" w:space="0" w:color="auto"/>
        <w:bottom w:val="none" w:sz="0" w:space="0" w:color="auto"/>
        <w:right w:val="none" w:sz="0" w:space="0" w:color="auto"/>
      </w:divBdr>
    </w:div>
    <w:div w:id="37824959">
      <w:bodyDiv w:val="1"/>
      <w:marLeft w:val="0"/>
      <w:marRight w:val="0"/>
      <w:marTop w:val="0"/>
      <w:marBottom w:val="0"/>
      <w:divBdr>
        <w:top w:val="none" w:sz="0" w:space="0" w:color="auto"/>
        <w:left w:val="none" w:sz="0" w:space="0" w:color="auto"/>
        <w:bottom w:val="none" w:sz="0" w:space="0" w:color="auto"/>
        <w:right w:val="none" w:sz="0" w:space="0" w:color="auto"/>
      </w:divBdr>
    </w:div>
    <w:div w:id="43330741">
      <w:bodyDiv w:val="1"/>
      <w:marLeft w:val="0"/>
      <w:marRight w:val="0"/>
      <w:marTop w:val="0"/>
      <w:marBottom w:val="0"/>
      <w:divBdr>
        <w:top w:val="none" w:sz="0" w:space="0" w:color="auto"/>
        <w:left w:val="none" w:sz="0" w:space="0" w:color="auto"/>
        <w:bottom w:val="none" w:sz="0" w:space="0" w:color="auto"/>
        <w:right w:val="none" w:sz="0" w:space="0" w:color="auto"/>
      </w:divBdr>
    </w:div>
    <w:div w:id="43875281">
      <w:bodyDiv w:val="1"/>
      <w:marLeft w:val="0"/>
      <w:marRight w:val="0"/>
      <w:marTop w:val="0"/>
      <w:marBottom w:val="0"/>
      <w:divBdr>
        <w:top w:val="none" w:sz="0" w:space="0" w:color="auto"/>
        <w:left w:val="none" w:sz="0" w:space="0" w:color="auto"/>
        <w:bottom w:val="none" w:sz="0" w:space="0" w:color="auto"/>
        <w:right w:val="none" w:sz="0" w:space="0" w:color="auto"/>
      </w:divBdr>
    </w:div>
    <w:div w:id="46613954">
      <w:bodyDiv w:val="1"/>
      <w:marLeft w:val="0"/>
      <w:marRight w:val="0"/>
      <w:marTop w:val="0"/>
      <w:marBottom w:val="0"/>
      <w:divBdr>
        <w:top w:val="none" w:sz="0" w:space="0" w:color="auto"/>
        <w:left w:val="none" w:sz="0" w:space="0" w:color="auto"/>
        <w:bottom w:val="none" w:sz="0" w:space="0" w:color="auto"/>
        <w:right w:val="none" w:sz="0" w:space="0" w:color="auto"/>
      </w:divBdr>
    </w:div>
    <w:div w:id="51974842">
      <w:bodyDiv w:val="1"/>
      <w:marLeft w:val="0"/>
      <w:marRight w:val="0"/>
      <w:marTop w:val="0"/>
      <w:marBottom w:val="0"/>
      <w:divBdr>
        <w:top w:val="none" w:sz="0" w:space="0" w:color="auto"/>
        <w:left w:val="none" w:sz="0" w:space="0" w:color="auto"/>
        <w:bottom w:val="none" w:sz="0" w:space="0" w:color="auto"/>
        <w:right w:val="none" w:sz="0" w:space="0" w:color="auto"/>
      </w:divBdr>
    </w:div>
    <w:div w:id="55512800">
      <w:bodyDiv w:val="1"/>
      <w:marLeft w:val="0"/>
      <w:marRight w:val="0"/>
      <w:marTop w:val="0"/>
      <w:marBottom w:val="0"/>
      <w:divBdr>
        <w:top w:val="none" w:sz="0" w:space="0" w:color="auto"/>
        <w:left w:val="none" w:sz="0" w:space="0" w:color="auto"/>
        <w:bottom w:val="none" w:sz="0" w:space="0" w:color="auto"/>
        <w:right w:val="none" w:sz="0" w:space="0" w:color="auto"/>
      </w:divBdr>
    </w:div>
    <w:div w:id="55862109">
      <w:bodyDiv w:val="1"/>
      <w:marLeft w:val="0"/>
      <w:marRight w:val="0"/>
      <w:marTop w:val="0"/>
      <w:marBottom w:val="0"/>
      <w:divBdr>
        <w:top w:val="none" w:sz="0" w:space="0" w:color="auto"/>
        <w:left w:val="none" w:sz="0" w:space="0" w:color="auto"/>
        <w:bottom w:val="none" w:sz="0" w:space="0" w:color="auto"/>
        <w:right w:val="none" w:sz="0" w:space="0" w:color="auto"/>
      </w:divBdr>
    </w:div>
    <w:div w:id="61145209">
      <w:bodyDiv w:val="1"/>
      <w:marLeft w:val="0"/>
      <w:marRight w:val="0"/>
      <w:marTop w:val="0"/>
      <w:marBottom w:val="0"/>
      <w:divBdr>
        <w:top w:val="none" w:sz="0" w:space="0" w:color="auto"/>
        <w:left w:val="none" w:sz="0" w:space="0" w:color="auto"/>
        <w:bottom w:val="none" w:sz="0" w:space="0" w:color="auto"/>
        <w:right w:val="none" w:sz="0" w:space="0" w:color="auto"/>
      </w:divBdr>
    </w:div>
    <w:div w:id="63917992">
      <w:bodyDiv w:val="1"/>
      <w:marLeft w:val="0"/>
      <w:marRight w:val="0"/>
      <w:marTop w:val="0"/>
      <w:marBottom w:val="0"/>
      <w:divBdr>
        <w:top w:val="none" w:sz="0" w:space="0" w:color="auto"/>
        <w:left w:val="none" w:sz="0" w:space="0" w:color="auto"/>
        <w:bottom w:val="none" w:sz="0" w:space="0" w:color="auto"/>
        <w:right w:val="none" w:sz="0" w:space="0" w:color="auto"/>
      </w:divBdr>
    </w:div>
    <w:div w:id="72434190">
      <w:bodyDiv w:val="1"/>
      <w:marLeft w:val="0"/>
      <w:marRight w:val="0"/>
      <w:marTop w:val="0"/>
      <w:marBottom w:val="0"/>
      <w:divBdr>
        <w:top w:val="none" w:sz="0" w:space="0" w:color="auto"/>
        <w:left w:val="none" w:sz="0" w:space="0" w:color="auto"/>
        <w:bottom w:val="none" w:sz="0" w:space="0" w:color="auto"/>
        <w:right w:val="none" w:sz="0" w:space="0" w:color="auto"/>
      </w:divBdr>
    </w:div>
    <w:div w:id="77404497">
      <w:bodyDiv w:val="1"/>
      <w:marLeft w:val="0"/>
      <w:marRight w:val="0"/>
      <w:marTop w:val="0"/>
      <w:marBottom w:val="0"/>
      <w:divBdr>
        <w:top w:val="none" w:sz="0" w:space="0" w:color="auto"/>
        <w:left w:val="none" w:sz="0" w:space="0" w:color="auto"/>
        <w:bottom w:val="none" w:sz="0" w:space="0" w:color="auto"/>
        <w:right w:val="none" w:sz="0" w:space="0" w:color="auto"/>
      </w:divBdr>
    </w:div>
    <w:div w:id="82996059">
      <w:bodyDiv w:val="1"/>
      <w:marLeft w:val="0"/>
      <w:marRight w:val="0"/>
      <w:marTop w:val="0"/>
      <w:marBottom w:val="0"/>
      <w:divBdr>
        <w:top w:val="none" w:sz="0" w:space="0" w:color="auto"/>
        <w:left w:val="none" w:sz="0" w:space="0" w:color="auto"/>
        <w:bottom w:val="none" w:sz="0" w:space="0" w:color="auto"/>
        <w:right w:val="none" w:sz="0" w:space="0" w:color="auto"/>
      </w:divBdr>
    </w:div>
    <w:div w:id="83497665">
      <w:bodyDiv w:val="1"/>
      <w:marLeft w:val="0"/>
      <w:marRight w:val="0"/>
      <w:marTop w:val="0"/>
      <w:marBottom w:val="0"/>
      <w:divBdr>
        <w:top w:val="none" w:sz="0" w:space="0" w:color="auto"/>
        <w:left w:val="none" w:sz="0" w:space="0" w:color="auto"/>
        <w:bottom w:val="none" w:sz="0" w:space="0" w:color="auto"/>
        <w:right w:val="none" w:sz="0" w:space="0" w:color="auto"/>
      </w:divBdr>
    </w:div>
    <w:div w:id="87242357">
      <w:bodyDiv w:val="1"/>
      <w:marLeft w:val="0"/>
      <w:marRight w:val="0"/>
      <w:marTop w:val="0"/>
      <w:marBottom w:val="0"/>
      <w:divBdr>
        <w:top w:val="none" w:sz="0" w:space="0" w:color="auto"/>
        <w:left w:val="none" w:sz="0" w:space="0" w:color="auto"/>
        <w:bottom w:val="none" w:sz="0" w:space="0" w:color="auto"/>
        <w:right w:val="none" w:sz="0" w:space="0" w:color="auto"/>
      </w:divBdr>
    </w:div>
    <w:div w:id="94719134">
      <w:bodyDiv w:val="1"/>
      <w:marLeft w:val="0"/>
      <w:marRight w:val="0"/>
      <w:marTop w:val="0"/>
      <w:marBottom w:val="0"/>
      <w:divBdr>
        <w:top w:val="none" w:sz="0" w:space="0" w:color="auto"/>
        <w:left w:val="none" w:sz="0" w:space="0" w:color="auto"/>
        <w:bottom w:val="none" w:sz="0" w:space="0" w:color="auto"/>
        <w:right w:val="none" w:sz="0" w:space="0" w:color="auto"/>
      </w:divBdr>
    </w:div>
    <w:div w:id="95254188">
      <w:bodyDiv w:val="1"/>
      <w:marLeft w:val="0"/>
      <w:marRight w:val="0"/>
      <w:marTop w:val="0"/>
      <w:marBottom w:val="0"/>
      <w:divBdr>
        <w:top w:val="none" w:sz="0" w:space="0" w:color="auto"/>
        <w:left w:val="none" w:sz="0" w:space="0" w:color="auto"/>
        <w:bottom w:val="none" w:sz="0" w:space="0" w:color="auto"/>
        <w:right w:val="none" w:sz="0" w:space="0" w:color="auto"/>
      </w:divBdr>
    </w:div>
    <w:div w:id="100804189">
      <w:bodyDiv w:val="1"/>
      <w:marLeft w:val="0"/>
      <w:marRight w:val="0"/>
      <w:marTop w:val="0"/>
      <w:marBottom w:val="0"/>
      <w:divBdr>
        <w:top w:val="none" w:sz="0" w:space="0" w:color="auto"/>
        <w:left w:val="none" w:sz="0" w:space="0" w:color="auto"/>
        <w:bottom w:val="none" w:sz="0" w:space="0" w:color="auto"/>
        <w:right w:val="none" w:sz="0" w:space="0" w:color="auto"/>
      </w:divBdr>
    </w:div>
    <w:div w:id="101194013">
      <w:bodyDiv w:val="1"/>
      <w:marLeft w:val="0"/>
      <w:marRight w:val="0"/>
      <w:marTop w:val="0"/>
      <w:marBottom w:val="0"/>
      <w:divBdr>
        <w:top w:val="none" w:sz="0" w:space="0" w:color="auto"/>
        <w:left w:val="none" w:sz="0" w:space="0" w:color="auto"/>
        <w:bottom w:val="none" w:sz="0" w:space="0" w:color="auto"/>
        <w:right w:val="none" w:sz="0" w:space="0" w:color="auto"/>
      </w:divBdr>
    </w:div>
    <w:div w:id="101651749">
      <w:bodyDiv w:val="1"/>
      <w:marLeft w:val="0"/>
      <w:marRight w:val="0"/>
      <w:marTop w:val="0"/>
      <w:marBottom w:val="0"/>
      <w:divBdr>
        <w:top w:val="none" w:sz="0" w:space="0" w:color="auto"/>
        <w:left w:val="none" w:sz="0" w:space="0" w:color="auto"/>
        <w:bottom w:val="none" w:sz="0" w:space="0" w:color="auto"/>
        <w:right w:val="none" w:sz="0" w:space="0" w:color="auto"/>
      </w:divBdr>
    </w:div>
    <w:div w:id="101731374">
      <w:bodyDiv w:val="1"/>
      <w:marLeft w:val="0"/>
      <w:marRight w:val="0"/>
      <w:marTop w:val="0"/>
      <w:marBottom w:val="0"/>
      <w:divBdr>
        <w:top w:val="none" w:sz="0" w:space="0" w:color="auto"/>
        <w:left w:val="none" w:sz="0" w:space="0" w:color="auto"/>
        <w:bottom w:val="none" w:sz="0" w:space="0" w:color="auto"/>
        <w:right w:val="none" w:sz="0" w:space="0" w:color="auto"/>
      </w:divBdr>
    </w:div>
    <w:div w:id="102917310">
      <w:bodyDiv w:val="1"/>
      <w:marLeft w:val="0"/>
      <w:marRight w:val="0"/>
      <w:marTop w:val="0"/>
      <w:marBottom w:val="0"/>
      <w:divBdr>
        <w:top w:val="none" w:sz="0" w:space="0" w:color="auto"/>
        <w:left w:val="none" w:sz="0" w:space="0" w:color="auto"/>
        <w:bottom w:val="none" w:sz="0" w:space="0" w:color="auto"/>
        <w:right w:val="none" w:sz="0" w:space="0" w:color="auto"/>
      </w:divBdr>
    </w:div>
    <w:div w:id="103355753">
      <w:bodyDiv w:val="1"/>
      <w:marLeft w:val="0"/>
      <w:marRight w:val="0"/>
      <w:marTop w:val="0"/>
      <w:marBottom w:val="0"/>
      <w:divBdr>
        <w:top w:val="none" w:sz="0" w:space="0" w:color="auto"/>
        <w:left w:val="none" w:sz="0" w:space="0" w:color="auto"/>
        <w:bottom w:val="none" w:sz="0" w:space="0" w:color="auto"/>
        <w:right w:val="none" w:sz="0" w:space="0" w:color="auto"/>
      </w:divBdr>
    </w:div>
    <w:div w:id="103380067">
      <w:bodyDiv w:val="1"/>
      <w:marLeft w:val="0"/>
      <w:marRight w:val="0"/>
      <w:marTop w:val="0"/>
      <w:marBottom w:val="0"/>
      <w:divBdr>
        <w:top w:val="none" w:sz="0" w:space="0" w:color="auto"/>
        <w:left w:val="none" w:sz="0" w:space="0" w:color="auto"/>
        <w:bottom w:val="none" w:sz="0" w:space="0" w:color="auto"/>
        <w:right w:val="none" w:sz="0" w:space="0" w:color="auto"/>
      </w:divBdr>
    </w:div>
    <w:div w:id="110512454">
      <w:bodyDiv w:val="1"/>
      <w:marLeft w:val="0"/>
      <w:marRight w:val="0"/>
      <w:marTop w:val="0"/>
      <w:marBottom w:val="0"/>
      <w:divBdr>
        <w:top w:val="none" w:sz="0" w:space="0" w:color="auto"/>
        <w:left w:val="none" w:sz="0" w:space="0" w:color="auto"/>
        <w:bottom w:val="none" w:sz="0" w:space="0" w:color="auto"/>
        <w:right w:val="none" w:sz="0" w:space="0" w:color="auto"/>
      </w:divBdr>
    </w:div>
    <w:div w:id="114831976">
      <w:bodyDiv w:val="1"/>
      <w:marLeft w:val="0"/>
      <w:marRight w:val="0"/>
      <w:marTop w:val="0"/>
      <w:marBottom w:val="0"/>
      <w:divBdr>
        <w:top w:val="none" w:sz="0" w:space="0" w:color="auto"/>
        <w:left w:val="none" w:sz="0" w:space="0" w:color="auto"/>
        <w:bottom w:val="none" w:sz="0" w:space="0" w:color="auto"/>
        <w:right w:val="none" w:sz="0" w:space="0" w:color="auto"/>
      </w:divBdr>
    </w:div>
    <w:div w:id="117114021">
      <w:bodyDiv w:val="1"/>
      <w:marLeft w:val="0"/>
      <w:marRight w:val="0"/>
      <w:marTop w:val="0"/>
      <w:marBottom w:val="0"/>
      <w:divBdr>
        <w:top w:val="none" w:sz="0" w:space="0" w:color="auto"/>
        <w:left w:val="none" w:sz="0" w:space="0" w:color="auto"/>
        <w:bottom w:val="none" w:sz="0" w:space="0" w:color="auto"/>
        <w:right w:val="none" w:sz="0" w:space="0" w:color="auto"/>
      </w:divBdr>
    </w:div>
    <w:div w:id="133257845">
      <w:bodyDiv w:val="1"/>
      <w:marLeft w:val="0"/>
      <w:marRight w:val="0"/>
      <w:marTop w:val="0"/>
      <w:marBottom w:val="0"/>
      <w:divBdr>
        <w:top w:val="none" w:sz="0" w:space="0" w:color="auto"/>
        <w:left w:val="none" w:sz="0" w:space="0" w:color="auto"/>
        <w:bottom w:val="none" w:sz="0" w:space="0" w:color="auto"/>
        <w:right w:val="none" w:sz="0" w:space="0" w:color="auto"/>
      </w:divBdr>
    </w:div>
    <w:div w:id="134757304">
      <w:bodyDiv w:val="1"/>
      <w:marLeft w:val="0"/>
      <w:marRight w:val="0"/>
      <w:marTop w:val="0"/>
      <w:marBottom w:val="0"/>
      <w:divBdr>
        <w:top w:val="none" w:sz="0" w:space="0" w:color="auto"/>
        <w:left w:val="none" w:sz="0" w:space="0" w:color="auto"/>
        <w:bottom w:val="none" w:sz="0" w:space="0" w:color="auto"/>
        <w:right w:val="none" w:sz="0" w:space="0" w:color="auto"/>
      </w:divBdr>
    </w:div>
    <w:div w:id="140579116">
      <w:bodyDiv w:val="1"/>
      <w:marLeft w:val="0"/>
      <w:marRight w:val="0"/>
      <w:marTop w:val="0"/>
      <w:marBottom w:val="0"/>
      <w:divBdr>
        <w:top w:val="none" w:sz="0" w:space="0" w:color="auto"/>
        <w:left w:val="none" w:sz="0" w:space="0" w:color="auto"/>
        <w:bottom w:val="none" w:sz="0" w:space="0" w:color="auto"/>
        <w:right w:val="none" w:sz="0" w:space="0" w:color="auto"/>
      </w:divBdr>
    </w:div>
    <w:div w:id="143737023">
      <w:bodyDiv w:val="1"/>
      <w:marLeft w:val="0"/>
      <w:marRight w:val="0"/>
      <w:marTop w:val="0"/>
      <w:marBottom w:val="0"/>
      <w:divBdr>
        <w:top w:val="none" w:sz="0" w:space="0" w:color="auto"/>
        <w:left w:val="none" w:sz="0" w:space="0" w:color="auto"/>
        <w:bottom w:val="none" w:sz="0" w:space="0" w:color="auto"/>
        <w:right w:val="none" w:sz="0" w:space="0" w:color="auto"/>
      </w:divBdr>
    </w:div>
    <w:div w:id="144397641">
      <w:bodyDiv w:val="1"/>
      <w:marLeft w:val="0"/>
      <w:marRight w:val="0"/>
      <w:marTop w:val="0"/>
      <w:marBottom w:val="0"/>
      <w:divBdr>
        <w:top w:val="none" w:sz="0" w:space="0" w:color="auto"/>
        <w:left w:val="none" w:sz="0" w:space="0" w:color="auto"/>
        <w:bottom w:val="none" w:sz="0" w:space="0" w:color="auto"/>
        <w:right w:val="none" w:sz="0" w:space="0" w:color="auto"/>
      </w:divBdr>
    </w:div>
    <w:div w:id="147672484">
      <w:bodyDiv w:val="1"/>
      <w:marLeft w:val="0"/>
      <w:marRight w:val="0"/>
      <w:marTop w:val="0"/>
      <w:marBottom w:val="0"/>
      <w:divBdr>
        <w:top w:val="none" w:sz="0" w:space="0" w:color="auto"/>
        <w:left w:val="none" w:sz="0" w:space="0" w:color="auto"/>
        <w:bottom w:val="none" w:sz="0" w:space="0" w:color="auto"/>
        <w:right w:val="none" w:sz="0" w:space="0" w:color="auto"/>
      </w:divBdr>
    </w:div>
    <w:div w:id="149560318">
      <w:bodyDiv w:val="1"/>
      <w:marLeft w:val="0"/>
      <w:marRight w:val="0"/>
      <w:marTop w:val="0"/>
      <w:marBottom w:val="0"/>
      <w:divBdr>
        <w:top w:val="none" w:sz="0" w:space="0" w:color="auto"/>
        <w:left w:val="none" w:sz="0" w:space="0" w:color="auto"/>
        <w:bottom w:val="none" w:sz="0" w:space="0" w:color="auto"/>
        <w:right w:val="none" w:sz="0" w:space="0" w:color="auto"/>
      </w:divBdr>
    </w:div>
    <w:div w:id="154734533">
      <w:bodyDiv w:val="1"/>
      <w:marLeft w:val="0"/>
      <w:marRight w:val="0"/>
      <w:marTop w:val="0"/>
      <w:marBottom w:val="0"/>
      <w:divBdr>
        <w:top w:val="none" w:sz="0" w:space="0" w:color="auto"/>
        <w:left w:val="none" w:sz="0" w:space="0" w:color="auto"/>
        <w:bottom w:val="none" w:sz="0" w:space="0" w:color="auto"/>
        <w:right w:val="none" w:sz="0" w:space="0" w:color="auto"/>
      </w:divBdr>
    </w:div>
    <w:div w:id="157425521">
      <w:bodyDiv w:val="1"/>
      <w:marLeft w:val="0"/>
      <w:marRight w:val="0"/>
      <w:marTop w:val="0"/>
      <w:marBottom w:val="0"/>
      <w:divBdr>
        <w:top w:val="none" w:sz="0" w:space="0" w:color="auto"/>
        <w:left w:val="none" w:sz="0" w:space="0" w:color="auto"/>
        <w:bottom w:val="none" w:sz="0" w:space="0" w:color="auto"/>
        <w:right w:val="none" w:sz="0" w:space="0" w:color="auto"/>
      </w:divBdr>
    </w:div>
    <w:div w:id="163590626">
      <w:bodyDiv w:val="1"/>
      <w:marLeft w:val="0"/>
      <w:marRight w:val="0"/>
      <w:marTop w:val="0"/>
      <w:marBottom w:val="0"/>
      <w:divBdr>
        <w:top w:val="none" w:sz="0" w:space="0" w:color="auto"/>
        <w:left w:val="none" w:sz="0" w:space="0" w:color="auto"/>
        <w:bottom w:val="none" w:sz="0" w:space="0" w:color="auto"/>
        <w:right w:val="none" w:sz="0" w:space="0" w:color="auto"/>
      </w:divBdr>
    </w:div>
    <w:div w:id="183449282">
      <w:bodyDiv w:val="1"/>
      <w:marLeft w:val="0"/>
      <w:marRight w:val="0"/>
      <w:marTop w:val="0"/>
      <w:marBottom w:val="0"/>
      <w:divBdr>
        <w:top w:val="none" w:sz="0" w:space="0" w:color="auto"/>
        <w:left w:val="none" w:sz="0" w:space="0" w:color="auto"/>
        <w:bottom w:val="none" w:sz="0" w:space="0" w:color="auto"/>
        <w:right w:val="none" w:sz="0" w:space="0" w:color="auto"/>
      </w:divBdr>
    </w:div>
    <w:div w:id="183984920">
      <w:bodyDiv w:val="1"/>
      <w:marLeft w:val="0"/>
      <w:marRight w:val="0"/>
      <w:marTop w:val="0"/>
      <w:marBottom w:val="0"/>
      <w:divBdr>
        <w:top w:val="none" w:sz="0" w:space="0" w:color="auto"/>
        <w:left w:val="none" w:sz="0" w:space="0" w:color="auto"/>
        <w:bottom w:val="none" w:sz="0" w:space="0" w:color="auto"/>
        <w:right w:val="none" w:sz="0" w:space="0" w:color="auto"/>
      </w:divBdr>
    </w:div>
    <w:div w:id="184372290">
      <w:bodyDiv w:val="1"/>
      <w:marLeft w:val="0"/>
      <w:marRight w:val="0"/>
      <w:marTop w:val="0"/>
      <w:marBottom w:val="0"/>
      <w:divBdr>
        <w:top w:val="none" w:sz="0" w:space="0" w:color="auto"/>
        <w:left w:val="none" w:sz="0" w:space="0" w:color="auto"/>
        <w:bottom w:val="none" w:sz="0" w:space="0" w:color="auto"/>
        <w:right w:val="none" w:sz="0" w:space="0" w:color="auto"/>
      </w:divBdr>
    </w:div>
    <w:div w:id="186677138">
      <w:bodyDiv w:val="1"/>
      <w:marLeft w:val="0"/>
      <w:marRight w:val="0"/>
      <w:marTop w:val="0"/>
      <w:marBottom w:val="0"/>
      <w:divBdr>
        <w:top w:val="none" w:sz="0" w:space="0" w:color="auto"/>
        <w:left w:val="none" w:sz="0" w:space="0" w:color="auto"/>
        <w:bottom w:val="none" w:sz="0" w:space="0" w:color="auto"/>
        <w:right w:val="none" w:sz="0" w:space="0" w:color="auto"/>
      </w:divBdr>
    </w:div>
    <w:div w:id="193150976">
      <w:bodyDiv w:val="1"/>
      <w:marLeft w:val="0"/>
      <w:marRight w:val="0"/>
      <w:marTop w:val="0"/>
      <w:marBottom w:val="0"/>
      <w:divBdr>
        <w:top w:val="none" w:sz="0" w:space="0" w:color="auto"/>
        <w:left w:val="none" w:sz="0" w:space="0" w:color="auto"/>
        <w:bottom w:val="none" w:sz="0" w:space="0" w:color="auto"/>
        <w:right w:val="none" w:sz="0" w:space="0" w:color="auto"/>
      </w:divBdr>
    </w:div>
    <w:div w:id="199050730">
      <w:bodyDiv w:val="1"/>
      <w:marLeft w:val="0"/>
      <w:marRight w:val="0"/>
      <w:marTop w:val="0"/>
      <w:marBottom w:val="0"/>
      <w:divBdr>
        <w:top w:val="none" w:sz="0" w:space="0" w:color="auto"/>
        <w:left w:val="none" w:sz="0" w:space="0" w:color="auto"/>
        <w:bottom w:val="none" w:sz="0" w:space="0" w:color="auto"/>
        <w:right w:val="none" w:sz="0" w:space="0" w:color="auto"/>
      </w:divBdr>
    </w:div>
    <w:div w:id="200557312">
      <w:bodyDiv w:val="1"/>
      <w:marLeft w:val="0"/>
      <w:marRight w:val="0"/>
      <w:marTop w:val="0"/>
      <w:marBottom w:val="0"/>
      <w:divBdr>
        <w:top w:val="none" w:sz="0" w:space="0" w:color="auto"/>
        <w:left w:val="none" w:sz="0" w:space="0" w:color="auto"/>
        <w:bottom w:val="none" w:sz="0" w:space="0" w:color="auto"/>
        <w:right w:val="none" w:sz="0" w:space="0" w:color="auto"/>
      </w:divBdr>
    </w:div>
    <w:div w:id="214246384">
      <w:bodyDiv w:val="1"/>
      <w:marLeft w:val="0"/>
      <w:marRight w:val="0"/>
      <w:marTop w:val="0"/>
      <w:marBottom w:val="0"/>
      <w:divBdr>
        <w:top w:val="none" w:sz="0" w:space="0" w:color="auto"/>
        <w:left w:val="none" w:sz="0" w:space="0" w:color="auto"/>
        <w:bottom w:val="none" w:sz="0" w:space="0" w:color="auto"/>
        <w:right w:val="none" w:sz="0" w:space="0" w:color="auto"/>
      </w:divBdr>
    </w:div>
    <w:div w:id="214858860">
      <w:bodyDiv w:val="1"/>
      <w:marLeft w:val="0"/>
      <w:marRight w:val="0"/>
      <w:marTop w:val="0"/>
      <w:marBottom w:val="0"/>
      <w:divBdr>
        <w:top w:val="none" w:sz="0" w:space="0" w:color="auto"/>
        <w:left w:val="none" w:sz="0" w:space="0" w:color="auto"/>
        <w:bottom w:val="none" w:sz="0" w:space="0" w:color="auto"/>
        <w:right w:val="none" w:sz="0" w:space="0" w:color="auto"/>
      </w:divBdr>
    </w:div>
    <w:div w:id="216623505">
      <w:bodyDiv w:val="1"/>
      <w:marLeft w:val="0"/>
      <w:marRight w:val="0"/>
      <w:marTop w:val="0"/>
      <w:marBottom w:val="0"/>
      <w:divBdr>
        <w:top w:val="none" w:sz="0" w:space="0" w:color="auto"/>
        <w:left w:val="none" w:sz="0" w:space="0" w:color="auto"/>
        <w:bottom w:val="none" w:sz="0" w:space="0" w:color="auto"/>
        <w:right w:val="none" w:sz="0" w:space="0" w:color="auto"/>
      </w:divBdr>
    </w:div>
    <w:div w:id="217711591">
      <w:bodyDiv w:val="1"/>
      <w:marLeft w:val="0"/>
      <w:marRight w:val="0"/>
      <w:marTop w:val="0"/>
      <w:marBottom w:val="0"/>
      <w:divBdr>
        <w:top w:val="none" w:sz="0" w:space="0" w:color="auto"/>
        <w:left w:val="none" w:sz="0" w:space="0" w:color="auto"/>
        <w:bottom w:val="none" w:sz="0" w:space="0" w:color="auto"/>
        <w:right w:val="none" w:sz="0" w:space="0" w:color="auto"/>
      </w:divBdr>
    </w:div>
    <w:div w:id="222301044">
      <w:bodyDiv w:val="1"/>
      <w:marLeft w:val="0"/>
      <w:marRight w:val="0"/>
      <w:marTop w:val="0"/>
      <w:marBottom w:val="0"/>
      <w:divBdr>
        <w:top w:val="none" w:sz="0" w:space="0" w:color="auto"/>
        <w:left w:val="none" w:sz="0" w:space="0" w:color="auto"/>
        <w:bottom w:val="none" w:sz="0" w:space="0" w:color="auto"/>
        <w:right w:val="none" w:sz="0" w:space="0" w:color="auto"/>
      </w:divBdr>
    </w:div>
    <w:div w:id="224069173">
      <w:bodyDiv w:val="1"/>
      <w:marLeft w:val="0"/>
      <w:marRight w:val="0"/>
      <w:marTop w:val="0"/>
      <w:marBottom w:val="0"/>
      <w:divBdr>
        <w:top w:val="none" w:sz="0" w:space="0" w:color="auto"/>
        <w:left w:val="none" w:sz="0" w:space="0" w:color="auto"/>
        <w:bottom w:val="none" w:sz="0" w:space="0" w:color="auto"/>
        <w:right w:val="none" w:sz="0" w:space="0" w:color="auto"/>
      </w:divBdr>
    </w:div>
    <w:div w:id="225263635">
      <w:bodyDiv w:val="1"/>
      <w:marLeft w:val="0"/>
      <w:marRight w:val="0"/>
      <w:marTop w:val="0"/>
      <w:marBottom w:val="0"/>
      <w:divBdr>
        <w:top w:val="none" w:sz="0" w:space="0" w:color="auto"/>
        <w:left w:val="none" w:sz="0" w:space="0" w:color="auto"/>
        <w:bottom w:val="none" w:sz="0" w:space="0" w:color="auto"/>
        <w:right w:val="none" w:sz="0" w:space="0" w:color="auto"/>
      </w:divBdr>
    </w:div>
    <w:div w:id="228659931">
      <w:bodyDiv w:val="1"/>
      <w:marLeft w:val="0"/>
      <w:marRight w:val="0"/>
      <w:marTop w:val="0"/>
      <w:marBottom w:val="0"/>
      <w:divBdr>
        <w:top w:val="none" w:sz="0" w:space="0" w:color="auto"/>
        <w:left w:val="none" w:sz="0" w:space="0" w:color="auto"/>
        <w:bottom w:val="none" w:sz="0" w:space="0" w:color="auto"/>
        <w:right w:val="none" w:sz="0" w:space="0" w:color="auto"/>
      </w:divBdr>
    </w:div>
    <w:div w:id="230117658">
      <w:bodyDiv w:val="1"/>
      <w:marLeft w:val="0"/>
      <w:marRight w:val="0"/>
      <w:marTop w:val="0"/>
      <w:marBottom w:val="0"/>
      <w:divBdr>
        <w:top w:val="none" w:sz="0" w:space="0" w:color="auto"/>
        <w:left w:val="none" w:sz="0" w:space="0" w:color="auto"/>
        <w:bottom w:val="none" w:sz="0" w:space="0" w:color="auto"/>
        <w:right w:val="none" w:sz="0" w:space="0" w:color="auto"/>
      </w:divBdr>
    </w:div>
    <w:div w:id="249896064">
      <w:bodyDiv w:val="1"/>
      <w:marLeft w:val="0"/>
      <w:marRight w:val="0"/>
      <w:marTop w:val="0"/>
      <w:marBottom w:val="0"/>
      <w:divBdr>
        <w:top w:val="none" w:sz="0" w:space="0" w:color="auto"/>
        <w:left w:val="none" w:sz="0" w:space="0" w:color="auto"/>
        <w:bottom w:val="none" w:sz="0" w:space="0" w:color="auto"/>
        <w:right w:val="none" w:sz="0" w:space="0" w:color="auto"/>
      </w:divBdr>
    </w:div>
    <w:div w:id="256522491">
      <w:bodyDiv w:val="1"/>
      <w:marLeft w:val="0"/>
      <w:marRight w:val="0"/>
      <w:marTop w:val="0"/>
      <w:marBottom w:val="0"/>
      <w:divBdr>
        <w:top w:val="none" w:sz="0" w:space="0" w:color="auto"/>
        <w:left w:val="none" w:sz="0" w:space="0" w:color="auto"/>
        <w:bottom w:val="none" w:sz="0" w:space="0" w:color="auto"/>
        <w:right w:val="none" w:sz="0" w:space="0" w:color="auto"/>
      </w:divBdr>
    </w:div>
    <w:div w:id="256716191">
      <w:bodyDiv w:val="1"/>
      <w:marLeft w:val="0"/>
      <w:marRight w:val="0"/>
      <w:marTop w:val="0"/>
      <w:marBottom w:val="0"/>
      <w:divBdr>
        <w:top w:val="none" w:sz="0" w:space="0" w:color="auto"/>
        <w:left w:val="none" w:sz="0" w:space="0" w:color="auto"/>
        <w:bottom w:val="none" w:sz="0" w:space="0" w:color="auto"/>
        <w:right w:val="none" w:sz="0" w:space="0" w:color="auto"/>
      </w:divBdr>
    </w:div>
    <w:div w:id="257833260">
      <w:bodyDiv w:val="1"/>
      <w:marLeft w:val="0"/>
      <w:marRight w:val="0"/>
      <w:marTop w:val="0"/>
      <w:marBottom w:val="0"/>
      <w:divBdr>
        <w:top w:val="none" w:sz="0" w:space="0" w:color="auto"/>
        <w:left w:val="none" w:sz="0" w:space="0" w:color="auto"/>
        <w:bottom w:val="none" w:sz="0" w:space="0" w:color="auto"/>
        <w:right w:val="none" w:sz="0" w:space="0" w:color="auto"/>
      </w:divBdr>
    </w:div>
    <w:div w:id="257954736">
      <w:bodyDiv w:val="1"/>
      <w:marLeft w:val="0"/>
      <w:marRight w:val="0"/>
      <w:marTop w:val="0"/>
      <w:marBottom w:val="0"/>
      <w:divBdr>
        <w:top w:val="none" w:sz="0" w:space="0" w:color="auto"/>
        <w:left w:val="none" w:sz="0" w:space="0" w:color="auto"/>
        <w:bottom w:val="none" w:sz="0" w:space="0" w:color="auto"/>
        <w:right w:val="none" w:sz="0" w:space="0" w:color="auto"/>
      </w:divBdr>
    </w:div>
    <w:div w:id="259068135">
      <w:bodyDiv w:val="1"/>
      <w:marLeft w:val="0"/>
      <w:marRight w:val="0"/>
      <w:marTop w:val="0"/>
      <w:marBottom w:val="0"/>
      <w:divBdr>
        <w:top w:val="none" w:sz="0" w:space="0" w:color="auto"/>
        <w:left w:val="none" w:sz="0" w:space="0" w:color="auto"/>
        <w:bottom w:val="none" w:sz="0" w:space="0" w:color="auto"/>
        <w:right w:val="none" w:sz="0" w:space="0" w:color="auto"/>
      </w:divBdr>
    </w:div>
    <w:div w:id="263001453">
      <w:bodyDiv w:val="1"/>
      <w:marLeft w:val="0"/>
      <w:marRight w:val="0"/>
      <w:marTop w:val="0"/>
      <w:marBottom w:val="0"/>
      <w:divBdr>
        <w:top w:val="none" w:sz="0" w:space="0" w:color="auto"/>
        <w:left w:val="none" w:sz="0" w:space="0" w:color="auto"/>
        <w:bottom w:val="none" w:sz="0" w:space="0" w:color="auto"/>
        <w:right w:val="none" w:sz="0" w:space="0" w:color="auto"/>
      </w:divBdr>
    </w:div>
    <w:div w:id="271666466">
      <w:bodyDiv w:val="1"/>
      <w:marLeft w:val="0"/>
      <w:marRight w:val="0"/>
      <w:marTop w:val="0"/>
      <w:marBottom w:val="0"/>
      <w:divBdr>
        <w:top w:val="none" w:sz="0" w:space="0" w:color="auto"/>
        <w:left w:val="none" w:sz="0" w:space="0" w:color="auto"/>
        <w:bottom w:val="none" w:sz="0" w:space="0" w:color="auto"/>
        <w:right w:val="none" w:sz="0" w:space="0" w:color="auto"/>
      </w:divBdr>
    </w:div>
    <w:div w:id="275064403">
      <w:bodyDiv w:val="1"/>
      <w:marLeft w:val="0"/>
      <w:marRight w:val="0"/>
      <w:marTop w:val="0"/>
      <w:marBottom w:val="0"/>
      <w:divBdr>
        <w:top w:val="none" w:sz="0" w:space="0" w:color="auto"/>
        <w:left w:val="none" w:sz="0" w:space="0" w:color="auto"/>
        <w:bottom w:val="none" w:sz="0" w:space="0" w:color="auto"/>
        <w:right w:val="none" w:sz="0" w:space="0" w:color="auto"/>
      </w:divBdr>
    </w:div>
    <w:div w:id="290788658">
      <w:bodyDiv w:val="1"/>
      <w:marLeft w:val="0"/>
      <w:marRight w:val="0"/>
      <w:marTop w:val="0"/>
      <w:marBottom w:val="0"/>
      <w:divBdr>
        <w:top w:val="none" w:sz="0" w:space="0" w:color="auto"/>
        <w:left w:val="none" w:sz="0" w:space="0" w:color="auto"/>
        <w:bottom w:val="none" w:sz="0" w:space="0" w:color="auto"/>
        <w:right w:val="none" w:sz="0" w:space="0" w:color="auto"/>
      </w:divBdr>
    </w:div>
    <w:div w:id="301886152">
      <w:bodyDiv w:val="1"/>
      <w:marLeft w:val="0"/>
      <w:marRight w:val="0"/>
      <w:marTop w:val="0"/>
      <w:marBottom w:val="0"/>
      <w:divBdr>
        <w:top w:val="none" w:sz="0" w:space="0" w:color="auto"/>
        <w:left w:val="none" w:sz="0" w:space="0" w:color="auto"/>
        <w:bottom w:val="none" w:sz="0" w:space="0" w:color="auto"/>
        <w:right w:val="none" w:sz="0" w:space="0" w:color="auto"/>
      </w:divBdr>
    </w:div>
    <w:div w:id="302395043">
      <w:bodyDiv w:val="1"/>
      <w:marLeft w:val="0"/>
      <w:marRight w:val="0"/>
      <w:marTop w:val="0"/>
      <w:marBottom w:val="0"/>
      <w:divBdr>
        <w:top w:val="none" w:sz="0" w:space="0" w:color="auto"/>
        <w:left w:val="none" w:sz="0" w:space="0" w:color="auto"/>
        <w:bottom w:val="none" w:sz="0" w:space="0" w:color="auto"/>
        <w:right w:val="none" w:sz="0" w:space="0" w:color="auto"/>
      </w:divBdr>
    </w:div>
    <w:div w:id="305016032">
      <w:bodyDiv w:val="1"/>
      <w:marLeft w:val="0"/>
      <w:marRight w:val="0"/>
      <w:marTop w:val="0"/>
      <w:marBottom w:val="0"/>
      <w:divBdr>
        <w:top w:val="none" w:sz="0" w:space="0" w:color="auto"/>
        <w:left w:val="none" w:sz="0" w:space="0" w:color="auto"/>
        <w:bottom w:val="none" w:sz="0" w:space="0" w:color="auto"/>
        <w:right w:val="none" w:sz="0" w:space="0" w:color="auto"/>
      </w:divBdr>
    </w:div>
    <w:div w:id="307591538">
      <w:bodyDiv w:val="1"/>
      <w:marLeft w:val="0"/>
      <w:marRight w:val="0"/>
      <w:marTop w:val="0"/>
      <w:marBottom w:val="0"/>
      <w:divBdr>
        <w:top w:val="none" w:sz="0" w:space="0" w:color="auto"/>
        <w:left w:val="none" w:sz="0" w:space="0" w:color="auto"/>
        <w:bottom w:val="none" w:sz="0" w:space="0" w:color="auto"/>
        <w:right w:val="none" w:sz="0" w:space="0" w:color="auto"/>
      </w:divBdr>
    </w:div>
    <w:div w:id="308051424">
      <w:bodyDiv w:val="1"/>
      <w:marLeft w:val="0"/>
      <w:marRight w:val="0"/>
      <w:marTop w:val="0"/>
      <w:marBottom w:val="0"/>
      <w:divBdr>
        <w:top w:val="none" w:sz="0" w:space="0" w:color="auto"/>
        <w:left w:val="none" w:sz="0" w:space="0" w:color="auto"/>
        <w:bottom w:val="none" w:sz="0" w:space="0" w:color="auto"/>
        <w:right w:val="none" w:sz="0" w:space="0" w:color="auto"/>
      </w:divBdr>
    </w:div>
    <w:div w:id="317806306">
      <w:bodyDiv w:val="1"/>
      <w:marLeft w:val="0"/>
      <w:marRight w:val="0"/>
      <w:marTop w:val="0"/>
      <w:marBottom w:val="0"/>
      <w:divBdr>
        <w:top w:val="none" w:sz="0" w:space="0" w:color="auto"/>
        <w:left w:val="none" w:sz="0" w:space="0" w:color="auto"/>
        <w:bottom w:val="none" w:sz="0" w:space="0" w:color="auto"/>
        <w:right w:val="none" w:sz="0" w:space="0" w:color="auto"/>
      </w:divBdr>
    </w:div>
    <w:div w:id="318847035">
      <w:bodyDiv w:val="1"/>
      <w:marLeft w:val="0"/>
      <w:marRight w:val="0"/>
      <w:marTop w:val="0"/>
      <w:marBottom w:val="0"/>
      <w:divBdr>
        <w:top w:val="none" w:sz="0" w:space="0" w:color="auto"/>
        <w:left w:val="none" w:sz="0" w:space="0" w:color="auto"/>
        <w:bottom w:val="none" w:sz="0" w:space="0" w:color="auto"/>
        <w:right w:val="none" w:sz="0" w:space="0" w:color="auto"/>
      </w:divBdr>
    </w:div>
    <w:div w:id="326059534">
      <w:bodyDiv w:val="1"/>
      <w:marLeft w:val="0"/>
      <w:marRight w:val="0"/>
      <w:marTop w:val="0"/>
      <w:marBottom w:val="0"/>
      <w:divBdr>
        <w:top w:val="none" w:sz="0" w:space="0" w:color="auto"/>
        <w:left w:val="none" w:sz="0" w:space="0" w:color="auto"/>
        <w:bottom w:val="none" w:sz="0" w:space="0" w:color="auto"/>
        <w:right w:val="none" w:sz="0" w:space="0" w:color="auto"/>
      </w:divBdr>
    </w:div>
    <w:div w:id="327027019">
      <w:bodyDiv w:val="1"/>
      <w:marLeft w:val="0"/>
      <w:marRight w:val="0"/>
      <w:marTop w:val="0"/>
      <w:marBottom w:val="0"/>
      <w:divBdr>
        <w:top w:val="none" w:sz="0" w:space="0" w:color="auto"/>
        <w:left w:val="none" w:sz="0" w:space="0" w:color="auto"/>
        <w:bottom w:val="none" w:sz="0" w:space="0" w:color="auto"/>
        <w:right w:val="none" w:sz="0" w:space="0" w:color="auto"/>
      </w:divBdr>
    </w:div>
    <w:div w:id="338393238">
      <w:bodyDiv w:val="1"/>
      <w:marLeft w:val="0"/>
      <w:marRight w:val="0"/>
      <w:marTop w:val="0"/>
      <w:marBottom w:val="0"/>
      <w:divBdr>
        <w:top w:val="none" w:sz="0" w:space="0" w:color="auto"/>
        <w:left w:val="none" w:sz="0" w:space="0" w:color="auto"/>
        <w:bottom w:val="none" w:sz="0" w:space="0" w:color="auto"/>
        <w:right w:val="none" w:sz="0" w:space="0" w:color="auto"/>
      </w:divBdr>
    </w:div>
    <w:div w:id="343703378">
      <w:bodyDiv w:val="1"/>
      <w:marLeft w:val="0"/>
      <w:marRight w:val="0"/>
      <w:marTop w:val="0"/>
      <w:marBottom w:val="0"/>
      <w:divBdr>
        <w:top w:val="none" w:sz="0" w:space="0" w:color="auto"/>
        <w:left w:val="none" w:sz="0" w:space="0" w:color="auto"/>
        <w:bottom w:val="none" w:sz="0" w:space="0" w:color="auto"/>
        <w:right w:val="none" w:sz="0" w:space="0" w:color="auto"/>
      </w:divBdr>
    </w:div>
    <w:div w:id="344210714">
      <w:bodyDiv w:val="1"/>
      <w:marLeft w:val="0"/>
      <w:marRight w:val="0"/>
      <w:marTop w:val="0"/>
      <w:marBottom w:val="0"/>
      <w:divBdr>
        <w:top w:val="none" w:sz="0" w:space="0" w:color="auto"/>
        <w:left w:val="none" w:sz="0" w:space="0" w:color="auto"/>
        <w:bottom w:val="none" w:sz="0" w:space="0" w:color="auto"/>
        <w:right w:val="none" w:sz="0" w:space="0" w:color="auto"/>
      </w:divBdr>
    </w:div>
    <w:div w:id="345059901">
      <w:bodyDiv w:val="1"/>
      <w:marLeft w:val="0"/>
      <w:marRight w:val="0"/>
      <w:marTop w:val="0"/>
      <w:marBottom w:val="0"/>
      <w:divBdr>
        <w:top w:val="none" w:sz="0" w:space="0" w:color="auto"/>
        <w:left w:val="none" w:sz="0" w:space="0" w:color="auto"/>
        <w:bottom w:val="none" w:sz="0" w:space="0" w:color="auto"/>
        <w:right w:val="none" w:sz="0" w:space="0" w:color="auto"/>
      </w:divBdr>
    </w:div>
    <w:div w:id="346517638">
      <w:bodyDiv w:val="1"/>
      <w:marLeft w:val="0"/>
      <w:marRight w:val="0"/>
      <w:marTop w:val="0"/>
      <w:marBottom w:val="0"/>
      <w:divBdr>
        <w:top w:val="none" w:sz="0" w:space="0" w:color="auto"/>
        <w:left w:val="none" w:sz="0" w:space="0" w:color="auto"/>
        <w:bottom w:val="none" w:sz="0" w:space="0" w:color="auto"/>
        <w:right w:val="none" w:sz="0" w:space="0" w:color="auto"/>
      </w:divBdr>
    </w:div>
    <w:div w:id="349071955">
      <w:bodyDiv w:val="1"/>
      <w:marLeft w:val="0"/>
      <w:marRight w:val="0"/>
      <w:marTop w:val="0"/>
      <w:marBottom w:val="0"/>
      <w:divBdr>
        <w:top w:val="none" w:sz="0" w:space="0" w:color="auto"/>
        <w:left w:val="none" w:sz="0" w:space="0" w:color="auto"/>
        <w:bottom w:val="none" w:sz="0" w:space="0" w:color="auto"/>
        <w:right w:val="none" w:sz="0" w:space="0" w:color="auto"/>
      </w:divBdr>
    </w:div>
    <w:div w:id="349185303">
      <w:bodyDiv w:val="1"/>
      <w:marLeft w:val="0"/>
      <w:marRight w:val="0"/>
      <w:marTop w:val="0"/>
      <w:marBottom w:val="0"/>
      <w:divBdr>
        <w:top w:val="none" w:sz="0" w:space="0" w:color="auto"/>
        <w:left w:val="none" w:sz="0" w:space="0" w:color="auto"/>
        <w:bottom w:val="none" w:sz="0" w:space="0" w:color="auto"/>
        <w:right w:val="none" w:sz="0" w:space="0" w:color="auto"/>
      </w:divBdr>
    </w:div>
    <w:div w:id="356657554">
      <w:bodyDiv w:val="1"/>
      <w:marLeft w:val="0"/>
      <w:marRight w:val="0"/>
      <w:marTop w:val="0"/>
      <w:marBottom w:val="0"/>
      <w:divBdr>
        <w:top w:val="none" w:sz="0" w:space="0" w:color="auto"/>
        <w:left w:val="none" w:sz="0" w:space="0" w:color="auto"/>
        <w:bottom w:val="none" w:sz="0" w:space="0" w:color="auto"/>
        <w:right w:val="none" w:sz="0" w:space="0" w:color="auto"/>
      </w:divBdr>
    </w:div>
    <w:div w:id="356928952">
      <w:bodyDiv w:val="1"/>
      <w:marLeft w:val="0"/>
      <w:marRight w:val="0"/>
      <w:marTop w:val="0"/>
      <w:marBottom w:val="0"/>
      <w:divBdr>
        <w:top w:val="none" w:sz="0" w:space="0" w:color="auto"/>
        <w:left w:val="none" w:sz="0" w:space="0" w:color="auto"/>
        <w:bottom w:val="none" w:sz="0" w:space="0" w:color="auto"/>
        <w:right w:val="none" w:sz="0" w:space="0" w:color="auto"/>
      </w:divBdr>
    </w:div>
    <w:div w:id="369649111">
      <w:bodyDiv w:val="1"/>
      <w:marLeft w:val="0"/>
      <w:marRight w:val="0"/>
      <w:marTop w:val="0"/>
      <w:marBottom w:val="0"/>
      <w:divBdr>
        <w:top w:val="none" w:sz="0" w:space="0" w:color="auto"/>
        <w:left w:val="none" w:sz="0" w:space="0" w:color="auto"/>
        <w:bottom w:val="none" w:sz="0" w:space="0" w:color="auto"/>
        <w:right w:val="none" w:sz="0" w:space="0" w:color="auto"/>
      </w:divBdr>
    </w:div>
    <w:div w:id="378476261">
      <w:bodyDiv w:val="1"/>
      <w:marLeft w:val="0"/>
      <w:marRight w:val="0"/>
      <w:marTop w:val="0"/>
      <w:marBottom w:val="0"/>
      <w:divBdr>
        <w:top w:val="none" w:sz="0" w:space="0" w:color="auto"/>
        <w:left w:val="none" w:sz="0" w:space="0" w:color="auto"/>
        <w:bottom w:val="none" w:sz="0" w:space="0" w:color="auto"/>
        <w:right w:val="none" w:sz="0" w:space="0" w:color="auto"/>
      </w:divBdr>
    </w:div>
    <w:div w:id="384253696">
      <w:bodyDiv w:val="1"/>
      <w:marLeft w:val="0"/>
      <w:marRight w:val="0"/>
      <w:marTop w:val="0"/>
      <w:marBottom w:val="0"/>
      <w:divBdr>
        <w:top w:val="none" w:sz="0" w:space="0" w:color="auto"/>
        <w:left w:val="none" w:sz="0" w:space="0" w:color="auto"/>
        <w:bottom w:val="none" w:sz="0" w:space="0" w:color="auto"/>
        <w:right w:val="none" w:sz="0" w:space="0" w:color="auto"/>
      </w:divBdr>
    </w:div>
    <w:div w:id="387265523">
      <w:bodyDiv w:val="1"/>
      <w:marLeft w:val="0"/>
      <w:marRight w:val="0"/>
      <w:marTop w:val="0"/>
      <w:marBottom w:val="0"/>
      <w:divBdr>
        <w:top w:val="none" w:sz="0" w:space="0" w:color="auto"/>
        <w:left w:val="none" w:sz="0" w:space="0" w:color="auto"/>
        <w:bottom w:val="none" w:sz="0" w:space="0" w:color="auto"/>
        <w:right w:val="none" w:sz="0" w:space="0" w:color="auto"/>
      </w:divBdr>
    </w:div>
    <w:div w:id="388959684">
      <w:bodyDiv w:val="1"/>
      <w:marLeft w:val="0"/>
      <w:marRight w:val="0"/>
      <w:marTop w:val="0"/>
      <w:marBottom w:val="0"/>
      <w:divBdr>
        <w:top w:val="none" w:sz="0" w:space="0" w:color="auto"/>
        <w:left w:val="none" w:sz="0" w:space="0" w:color="auto"/>
        <w:bottom w:val="none" w:sz="0" w:space="0" w:color="auto"/>
        <w:right w:val="none" w:sz="0" w:space="0" w:color="auto"/>
      </w:divBdr>
    </w:div>
    <w:div w:id="398864112">
      <w:bodyDiv w:val="1"/>
      <w:marLeft w:val="0"/>
      <w:marRight w:val="0"/>
      <w:marTop w:val="0"/>
      <w:marBottom w:val="0"/>
      <w:divBdr>
        <w:top w:val="none" w:sz="0" w:space="0" w:color="auto"/>
        <w:left w:val="none" w:sz="0" w:space="0" w:color="auto"/>
        <w:bottom w:val="none" w:sz="0" w:space="0" w:color="auto"/>
        <w:right w:val="none" w:sz="0" w:space="0" w:color="auto"/>
      </w:divBdr>
    </w:div>
    <w:div w:id="402026475">
      <w:bodyDiv w:val="1"/>
      <w:marLeft w:val="0"/>
      <w:marRight w:val="0"/>
      <w:marTop w:val="0"/>
      <w:marBottom w:val="0"/>
      <w:divBdr>
        <w:top w:val="none" w:sz="0" w:space="0" w:color="auto"/>
        <w:left w:val="none" w:sz="0" w:space="0" w:color="auto"/>
        <w:bottom w:val="none" w:sz="0" w:space="0" w:color="auto"/>
        <w:right w:val="none" w:sz="0" w:space="0" w:color="auto"/>
      </w:divBdr>
    </w:div>
    <w:div w:id="407578892">
      <w:bodyDiv w:val="1"/>
      <w:marLeft w:val="0"/>
      <w:marRight w:val="0"/>
      <w:marTop w:val="0"/>
      <w:marBottom w:val="0"/>
      <w:divBdr>
        <w:top w:val="none" w:sz="0" w:space="0" w:color="auto"/>
        <w:left w:val="none" w:sz="0" w:space="0" w:color="auto"/>
        <w:bottom w:val="none" w:sz="0" w:space="0" w:color="auto"/>
        <w:right w:val="none" w:sz="0" w:space="0" w:color="auto"/>
      </w:divBdr>
    </w:div>
    <w:div w:id="408966119">
      <w:bodyDiv w:val="1"/>
      <w:marLeft w:val="0"/>
      <w:marRight w:val="0"/>
      <w:marTop w:val="0"/>
      <w:marBottom w:val="0"/>
      <w:divBdr>
        <w:top w:val="none" w:sz="0" w:space="0" w:color="auto"/>
        <w:left w:val="none" w:sz="0" w:space="0" w:color="auto"/>
        <w:bottom w:val="none" w:sz="0" w:space="0" w:color="auto"/>
        <w:right w:val="none" w:sz="0" w:space="0" w:color="auto"/>
      </w:divBdr>
    </w:div>
    <w:div w:id="409040750">
      <w:bodyDiv w:val="1"/>
      <w:marLeft w:val="0"/>
      <w:marRight w:val="0"/>
      <w:marTop w:val="0"/>
      <w:marBottom w:val="0"/>
      <w:divBdr>
        <w:top w:val="none" w:sz="0" w:space="0" w:color="auto"/>
        <w:left w:val="none" w:sz="0" w:space="0" w:color="auto"/>
        <w:bottom w:val="none" w:sz="0" w:space="0" w:color="auto"/>
        <w:right w:val="none" w:sz="0" w:space="0" w:color="auto"/>
      </w:divBdr>
    </w:div>
    <w:div w:id="413360345">
      <w:bodyDiv w:val="1"/>
      <w:marLeft w:val="0"/>
      <w:marRight w:val="0"/>
      <w:marTop w:val="0"/>
      <w:marBottom w:val="0"/>
      <w:divBdr>
        <w:top w:val="none" w:sz="0" w:space="0" w:color="auto"/>
        <w:left w:val="none" w:sz="0" w:space="0" w:color="auto"/>
        <w:bottom w:val="none" w:sz="0" w:space="0" w:color="auto"/>
        <w:right w:val="none" w:sz="0" w:space="0" w:color="auto"/>
      </w:divBdr>
    </w:div>
    <w:div w:id="416250662">
      <w:bodyDiv w:val="1"/>
      <w:marLeft w:val="0"/>
      <w:marRight w:val="0"/>
      <w:marTop w:val="0"/>
      <w:marBottom w:val="0"/>
      <w:divBdr>
        <w:top w:val="none" w:sz="0" w:space="0" w:color="auto"/>
        <w:left w:val="none" w:sz="0" w:space="0" w:color="auto"/>
        <w:bottom w:val="none" w:sz="0" w:space="0" w:color="auto"/>
        <w:right w:val="none" w:sz="0" w:space="0" w:color="auto"/>
      </w:divBdr>
    </w:div>
    <w:div w:id="417483680">
      <w:bodyDiv w:val="1"/>
      <w:marLeft w:val="0"/>
      <w:marRight w:val="0"/>
      <w:marTop w:val="0"/>
      <w:marBottom w:val="0"/>
      <w:divBdr>
        <w:top w:val="none" w:sz="0" w:space="0" w:color="auto"/>
        <w:left w:val="none" w:sz="0" w:space="0" w:color="auto"/>
        <w:bottom w:val="none" w:sz="0" w:space="0" w:color="auto"/>
        <w:right w:val="none" w:sz="0" w:space="0" w:color="auto"/>
      </w:divBdr>
    </w:div>
    <w:div w:id="420104201">
      <w:bodyDiv w:val="1"/>
      <w:marLeft w:val="0"/>
      <w:marRight w:val="0"/>
      <w:marTop w:val="0"/>
      <w:marBottom w:val="0"/>
      <w:divBdr>
        <w:top w:val="none" w:sz="0" w:space="0" w:color="auto"/>
        <w:left w:val="none" w:sz="0" w:space="0" w:color="auto"/>
        <w:bottom w:val="none" w:sz="0" w:space="0" w:color="auto"/>
        <w:right w:val="none" w:sz="0" w:space="0" w:color="auto"/>
      </w:divBdr>
    </w:div>
    <w:div w:id="421416349">
      <w:bodyDiv w:val="1"/>
      <w:marLeft w:val="0"/>
      <w:marRight w:val="0"/>
      <w:marTop w:val="0"/>
      <w:marBottom w:val="0"/>
      <w:divBdr>
        <w:top w:val="none" w:sz="0" w:space="0" w:color="auto"/>
        <w:left w:val="none" w:sz="0" w:space="0" w:color="auto"/>
        <w:bottom w:val="none" w:sz="0" w:space="0" w:color="auto"/>
        <w:right w:val="none" w:sz="0" w:space="0" w:color="auto"/>
      </w:divBdr>
    </w:div>
    <w:div w:id="428892511">
      <w:bodyDiv w:val="1"/>
      <w:marLeft w:val="0"/>
      <w:marRight w:val="0"/>
      <w:marTop w:val="0"/>
      <w:marBottom w:val="0"/>
      <w:divBdr>
        <w:top w:val="none" w:sz="0" w:space="0" w:color="auto"/>
        <w:left w:val="none" w:sz="0" w:space="0" w:color="auto"/>
        <w:bottom w:val="none" w:sz="0" w:space="0" w:color="auto"/>
        <w:right w:val="none" w:sz="0" w:space="0" w:color="auto"/>
      </w:divBdr>
    </w:div>
    <w:div w:id="430245644">
      <w:bodyDiv w:val="1"/>
      <w:marLeft w:val="0"/>
      <w:marRight w:val="0"/>
      <w:marTop w:val="0"/>
      <w:marBottom w:val="0"/>
      <w:divBdr>
        <w:top w:val="none" w:sz="0" w:space="0" w:color="auto"/>
        <w:left w:val="none" w:sz="0" w:space="0" w:color="auto"/>
        <w:bottom w:val="none" w:sz="0" w:space="0" w:color="auto"/>
        <w:right w:val="none" w:sz="0" w:space="0" w:color="auto"/>
      </w:divBdr>
    </w:div>
    <w:div w:id="431173018">
      <w:bodyDiv w:val="1"/>
      <w:marLeft w:val="0"/>
      <w:marRight w:val="0"/>
      <w:marTop w:val="0"/>
      <w:marBottom w:val="0"/>
      <w:divBdr>
        <w:top w:val="none" w:sz="0" w:space="0" w:color="auto"/>
        <w:left w:val="none" w:sz="0" w:space="0" w:color="auto"/>
        <w:bottom w:val="none" w:sz="0" w:space="0" w:color="auto"/>
        <w:right w:val="none" w:sz="0" w:space="0" w:color="auto"/>
      </w:divBdr>
    </w:div>
    <w:div w:id="434978436">
      <w:bodyDiv w:val="1"/>
      <w:marLeft w:val="0"/>
      <w:marRight w:val="0"/>
      <w:marTop w:val="0"/>
      <w:marBottom w:val="0"/>
      <w:divBdr>
        <w:top w:val="none" w:sz="0" w:space="0" w:color="auto"/>
        <w:left w:val="none" w:sz="0" w:space="0" w:color="auto"/>
        <w:bottom w:val="none" w:sz="0" w:space="0" w:color="auto"/>
        <w:right w:val="none" w:sz="0" w:space="0" w:color="auto"/>
      </w:divBdr>
    </w:div>
    <w:div w:id="436754997">
      <w:bodyDiv w:val="1"/>
      <w:marLeft w:val="0"/>
      <w:marRight w:val="0"/>
      <w:marTop w:val="0"/>
      <w:marBottom w:val="0"/>
      <w:divBdr>
        <w:top w:val="none" w:sz="0" w:space="0" w:color="auto"/>
        <w:left w:val="none" w:sz="0" w:space="0" w:color="auto"/>
        <w:bottom w:val="none" w:sz="0" w:space="0" w:color="auto"/>
        <w:right w:val="none" w:sz="0" w:space="0" w:color="auto"/>
      </w:divBdr>
    </w:div>
    <w:div w:id="438529848">
      <w:bodyDiv w:val="1"/>
      <w:marLeft w:val="0"/>
      <w:marRight w:val="0"/>
      <w:marTop w:val="0"/>
      <w:marBottom w:val="0"/>
      <w:divBdr>
        <w:top w:val="none" w:sz="0" w:space="0" w:color="auto"/>
        <w:left w:val="none" w:sz="0" w:space="0" w:color="auto"/>
        <w:bottom w:val="none" w:sz="0" w:space="0" w:color="auto"/>
        <w:right w:val="none" w:sz="0" w:space="0" w:color="auto"/>
      </w:divBdr>
    </w:div>
    <w:div w:id="440807399">
      <w:bodyDiv w:val="1"/>
      <w:marLeft w:val="0"/>
      <w:marRight w:val="0"/>
      <w:marTop w:val="0"/>
      <w:marBottom w:val="0"/>
      <w:divBdr>
        <w:top w:val="none" w:sz="0" w:space="0" w:color="auto"/>
        <w:left w:val="none" w:sz="0" w:space="0" w:color="auto"/>
        <w:bottom w:val="none" w:sz="0" w:space="0" w:color="auto"/>
        <w:right w:val="none" w:sz="0" w:space="0" w:color="auto"/>
      </w:divBdr>
    </w:div>
    <w:div w:id="441534404">
      <w:bodyDiv w:val="1"/>
      <w:marLeft w:val="0"/>
      <w:marRight w:val="0"/>
      <w:marTop w:val="0"/>
      <w:marBottom w:val="0"/>
      <w:divBdr>
        <w:top w:val="none" w:sz="0" w:space="0" w:color="auto"/>
        <w:left w:val="none" w:sz="0" w:space="0" w:color="auto"/>
        <w:bottom w:val="none" w:sz="0" w:space="0" w:color="auto"/>
        <w:right w:val="none" w:sz="0" w:space="0" w:color="auto"/>
      </w:divBdr>
    </w:div>
    <w:div w:id="448666094">
      <w:bodyDiv w:val="1"/>
      <w:marLeft w:val="0"/>
      <w:marRight w:val="0"/>
      <w:marTop w:val="0"/>
      <w:marBottom w:val="0"/>
      <w:divBdr>
        <w:top w:val="none" w:sz="0" w:space="0" w:color="auto"/>
        <w:left w:val="none" w:sz="0" w:space="0" w:color="auto"/>
        <w:bottom w:val="none" w:sz="0" w:space="0" w:color="auto"/>
        <w:right w:val="none" w:sz="0" w:space="0" w:color="auto"/>
      </w:divBdr>
    </w:div>
    <w:div w:id="454564875">
      <w:bodyDiv w:val="1"/>
      <w:marLeft w:val="0"/>
      <w:marRight w:val="0"/>
      <w:marTop w:val="0"/>
      <w:marBottom w:val="0"/>
      <w:divBdr>
        <w:top w:val="none" w:sz="0" w:space="0" w:color="auto"/>
        <w:left w:val="none" w:sz="0" w:space="0" w:color="auto"/>
        <w:bottom w:val="none" w:sz="0" w:space="0" w:color="auto"/>
        <w:right w:val="none" w:sz="0" w:space="0" w:color="auto"/>
      </w:divBdr>
    </w:div>
    <w:div w:id="458760977">
      <w:bodyDiv w:val="1"/>
      <w:marLeft w:val="0"/>
      <w:marRight w:val="0"/>
      <w:marTop w:val="0"/>
      <w:marBottom w:val="0"/>
      <w:divBdr>
        <w:top w:val="none" w:sz="0" w:space="0" w:color="auto"/>
        <w:left w:val="none" w:sz="0" w:space="0" w:color="auto"/>
        <w:bottom w:val="none" w:sz="0" w:space="0" w:color="auto"/>
        <w:right w:val="none" w:sz="0" w:space="0" w:color="auto"/>
      </w:divBdr>
    </w:div>
    <w:div w:id="459155359">
      <w:bodyDiv w:val="1"/>
      <w:marLeft w:val="0"/>
      <w:marRight w:val="0"/>
      <w:marTop w:val="0"/>
      <w:marBottom w:val="0"/>
      <w:divBdr>
        <w:top w:val="none" w:sz="0" w:space="0" w:color="auto"/>
        <w:left w:val="none" w:sz="0" w:space="0" w:color="auto"/>
        <w:bottom w:val="none" w:sz="0" w:space="0" w:color="auto"/>
        <w:right w:val="none" w:sz="0" w:space="0" w:color="auto"/>
      </w:divBdr>
    </w:div>
    <w:div w:id="469172787">
      <w:bodyDiv w:val="1"/>
      <w:marLeft w:val="0"/>
      <w:marRight w:val="0"/>
      <w:marTop w:val="0"/>
      <w:marBottom w:val="0"/>
      <w:divBdr>
        <w:top w:val="none" w:sz="0" w:space="0" w:color="auto"/>
        <w:left w:val="none" w:sz="0" w:space="0" w:color="auto"/>
        <w:bottom w:val="none" w:sz="0" w:space="0" w:color="auto"/>
        <w:right w:val="none" w:sz="0" w:space="0" w:color="auto"/>
      </w:divBdr>
    </w:div>
    <w:div w:id="470245557">
      <w:bodyDiv w:val="1"/>
      <w:marLeft w:val="0"/>
      <w:marRight w:val="0"/>
      <w:marTop w:val="0"/>
      <w:marBottom w:val="0"/>
      <w:divBdr>
        <w:top w:val="none" w:sz="0" w:space="0" w:color="auto"/>
        <w:left w:val="none" w:sz="0" w:space="0" w:color="auto"/>
        <w:bottom w:val="none" w:sz="0" w:space="0" w:color="auto"/>
        <w:right w:val="none" w:sz="0" w:space="0" w:color="auto"/>
      </w:divBdr>
    </w:div>
    <w:div w:id="472717984">
      <w:bodyDiv w:val="1"/>
      <w:marLeft w:val="0"/>
      <w:marRight w:val="0"/>
      <w:marTop w:val="0"/>
      <w:marBottom w:val="0"/>
      <w:divBdr>
        <w:top w:val="none" w:sz="0" w:space="0" w:color="auto"/>
        <w:left w:val="none" w:sz="0" w:space="0" w:color="auto"/>
        <w:bottom w:val="none" w:sz="0" w:space="0" w:color="auto"/>
        <w:right w:val="none" w:sz="0" w:space="0" w:color="auto"/>
      </w:divBdr>
    </w:div>
    <w:div w:id="477650220">
      <w:bodyDiv w:val="1"/>
      <w:marLeft w:val="0"/>
      <w:marRight w:val="0"/>
      <w:marTop w:val="0"/>
      <w:marBottom w:val="0"/>
      <w:divBdr>
        <w:top w:val="none" w:sz="0" w:space="0" w:color="auto"/>
        <w:left w:val="none" w:sz="0" w:space="0" w:color="auto"/>
        <w:bottom w:val="none" w:sz="0" w:space="0" w:color="auto"/>
        <w:right w:val="none" w:sz="0" w:space="0" w:color="auto"/>
      </w:divBdr>
    </w:div>
    <w:div w:id="482889169">
      <w:bodyDiv w:val="1"/>
      <w:marLeft w:val="0"/>
      <w:marRight w:val="0"/>
      <w:marTop w:val="0"/>
      <w:marBottom w:val="0"/>
      <w:divBdr>
        <w:top w:val="none" w:sz="0" w:space="0" w:color="auto"/>
        <w:left w:val="none" w:sz="0" w:space="0" w:color="auto"/>
        <w:bottom w:val="none" w:sz="0" w:space="0" w:color="auto"/>
        <w:right w:val="none" w:sz="0" w:space="0" w:color="auto"/>
      </w:divBdr>
    </w:div>
    <w:div w:id="496849565">
      <w:bodyDiv w:val="1"/>
      <w:marLeft w:val="0"/>
      <w:marRight w:val="0"/>
      <w:marTop w:val="0"/>
      <w:marBottom w:val="0"/>
      <w:divBdr>
        <w:top w:val="none" w:sz="0" w:space="0" w:color="auto"/>
        <w:left w:val="none" w:sz="0" w:space="0" w:color="auto"/>
        <w:bottom w:val="none" w:sz="0" w:space="0" w:color="auto"/>
        <w:right w:val="none" w:sz="0" w:space="0" w:color="auto"/>
      </w:divBdr>
    </w:div>
    <w:div w:id="502474711">
      <w:bodyDiv w:val="1"/>
      <w:marLeft w:val="0"/>
      <w:marRight w:val="0"/>
      <w:marTop w:val="0"/>
      <w:marBottom w:val="0"/>
      <w:divBdr>
        <w:top w:val="none" w:sz="0" w:space="0" w:color="auto"/>
        <w:left w:val="none" w:sz="0" w:space="0" w:color="auto"/>
        <w:bottom w:val="none" w:sz="0" w:space="0" w:color="auto"/>
        <w:right w:val="none" w:sz="0" w:space="0" w:color="auto"/>
      </w:divBdr>
    </w:div>
    <w:div w:id="508713074">
      <w:bodyDiv w:val="1"/>
      <w:marLeft w:val="0"/>
      <w:marRight w:val="0"/>
      <w:marTop w:val="0"/>
      <w:marBottom w:val="0"/>
      <w:divBdr>
        <w:top w:val="none" w:sz="0" w:space="0" w:color="auto"/>
        <w:left w:val="none" w:sz="0" w:space="0" w:color="auto"/>
        <w:bottom w:val="none" w:sz="0" w:space="0" w:color="auto"/>
        <w:right w:val="none" w:sz="0" w:space="0" w:color="auto"/>
      </w:divBdr>
    </w:div>
    <w:div w:id="510338198">
      <w:bodyDiv w:val="1"/>
      <w:marLeft w:val="0"/>
      <w:marRight w:val="0"/>
      <w:marTop w:val="0"/>
      <w:marBottom w:val="0"/>
      <w:divBdr>
        <w:top w:val="none" w:sz="0" w:space="0" w:color="auto"/>
        <w:left w:val="none" w:sz="0" w:space="0" w:color="auto"/>
        <w:bottom w:val="none" w:sz="0" w:space="0" w:color="auto"/>
        <w:right w:val="none" w:sz="0" w:space="0" w:color="auto"/>
      </w:divBdr>
    </w:div>
    <w:div w:id="520434031">
      <w:bodyDiv w:val="1"/>
      <w:marLeft w:val="0"/>
      <w:marRight w:val="0"/>
      <w:marTop w:val="0"/>
      <w:marBottom w:val="0"/>
      <w:divBdr>
        <w:top w:val="none" w:sz="0" w:space="0" w:color="auto"/>
        <w:left w:val="none" w:sz="0" w:space="0" w:color="auto"/>
        <w:bottom w:val="none" w:sz="0" w:space="0" w:color="auto"/>
        <w:right w:val="none" w:sz="0" w:space="0" w:color="auto"/>
      </w:divBdr>
    </w:div>
    <w:div w:id="520781088">
      <w:bodyDiv w:val="1"/>
      <w:marLeft w:val="0"/>
      <w:marRight w:val="0"/>
      <w:marTop w:val="0"/>
      <w:marBottom w:val="0"/>
      <w:divBdr>
        <w:top w:val="none" w:sz="0" w:space="0" w:color="auto"/>
        <w:left w:val="none" w:sz="0" w:space="0" w:color="auto"/>
        <w:bottom w:val="none" w:sz="0" w:space="0" w:color="auto"/>
        <w:right w:val="none" w:sz="0" w:space="0" w:color="auto"/>
      </w:divBdr>
    </w:div>
    <w:div w:id="526257461">
      <w:bodyDiv w:val="1"/>
      <w:marLeft w:val="0"/>
      <w:marRight w:val="0"/>
      <w:marTop w:val="0"/>
      <w:marBottom w:val="0"/>
      <w:divBdr>
        <w:top w:val="none" w:sz="0" w:space="0" w:color="auto"/>
        <w:left w:val="none" w:sz="0" w:space="0" w:color="auto"/>
        <w:bottom w:val="none" w:sz="0" w:space="0" w:color="auto"/>
        <w:right w:val="none" w:sz="0" w:space="0" w:color="auto"/>
      </w:divBdr>
    </w:div>
    <w:div w:id="544607160">
      <w:bodyDiv w:val="1"/>
      <w:marLeft w:val="0"/>
      <w:marRight w:val="0"/>
      <w:marTop w:val="0"/>
      <w:marBottom w:val="0"/>
      <w:divBdr>
        <w:top w:val="none" w:sz="0" w:space="0" w:color="auto"/>
        <w:left w:val="none" w:sz="0" w:space="0" w:color="auto"/>
        <w:bottom w:val="none" w:sz="0" w:space="0" w:color="auto"/>
        <w:right w:val="none" w:sz="0" w:space="0" w:color="auto"/>
      </w:divBdr>
    </w:div>
    <w:div w:id="544877557">
      <w:bodyDiv w:val="1"/>
      <w:marLeft w:val="0"/>
      <w:marRight w:val="0"/>
      <w:marTop w:val="0"/>
      <w:marBottom w:val="0"/>
      <w:divBdr>
        <w:top w:val="none" w:sz="0" w:space="0" w:color="auto"/>
        <w:left w:val="none" w:sz="0" w:space="0" w:color="auto"/>
        <w:bottom w:val="none" w:sz="0" w:space="0" w:color="auto"/>
        <w:right w:val="none" w:sz="0" w:space="0" w:color="auto"/>
      </w:divBdr>
    </w:div>
    <w:div w:id="545218183">
      <w:bodyDiv w:val="1"/>
      <w:marLeft w:val="0"/>
      <w:marRight w:val="0"/>
      <w:marTop w:val="0"/>
      <w:marBottom w:val="0"/>
      <w:divBdr>
        <w:top w:val="none" w:sz="0" w:space="0" w:color="auto"/>
        <w:left w:val="none" w:sz="0" w:space="0" w:color="auto"/>
        <w:bottom w:val="none" w:sz="0" w:space="0" w:color="auto"/>
        <w:right w:val="none" w:sz="0" w:space="0" w:color="auto"/>
      </w:divBdr>
    </w:div>
    <w:div w:id="547182360">
      <w:bodyDiv w:val="1"/>
      <w:marLeft w:val="0"/>
      <w:marRight w:val="0"/>
      <w:marTop w:val="0"/>
      <w:marBottom w:val="0"/>
      <w:divBdr>
        <w:top w:val="none" w:sz="0" w:space="0" w:color="auto"/>
        <w:left w:val="none" w:sz="0" w:space="0" w:color="auto"/>
        <w:bottom w:val="none" w:sz="0" w:space="0" w:color="auto"/>
        <w:right w:val="none" w:sz="0" w:space="0" w:color="auto"/>
      </w:divBdr>
    </w:div>
    <w:div w:id="548961407">
      <w:bodyDiv w:val="1"/>
      <w:marLeft w:val="0"/>
      <w:marRight w:val="0"/>
      <w:marTop w:val="0"/>
      <w:marBottom w:val="0"/>
      <w:divBdr>
        <w:top w:val="none" w:sz="0" w:space="0" w:color="auto"/>
        <w:left w:val="none" w:sz="0" w:space="0" w:color="auto"/>
        <w:bottom w:val="none" w:sz="0" w:space="0" w:color="auto"/>
        <w:right w:val="none" w:sz="0" w:space="0" w:color="auto"/>
      </w:divBdr>
    </w:div>
    <w:div w:id="557011690">
      <w:bodyDiv w:val="1"/>
      <w:marLeft w:val="0"/>
      <w:marRight w:val="0"/>
      <w:marTop w:val="0"/>
      <w:marBottom w:val="0"/>
      <w:divBdr>
        <w:top w:val="none" w:sz="0" w:space="0" w:color="auto"/>
        <w:left w:val="none" w:sz="0" w:space="0" w:color="auto"/>
        <w:bottom w:val="none" w:sz="0" w:space="0" w:color="auto"/>
        <w:right w:val="none" w:sz="0" w:space="0" w:color="auto"/>
      </w:divBdr>
    </w:div>
    <w:div w:id="559752159">
      <w:bodyDiv w:val="1"/>
      <w:marLeft w:val="0"/>
      <w:marRight w:val="0"/>
      <w:marTop w:val="0"/>
      <w:marBottom w:val="0"/>
      <w:divBdr>
        <w:top w:val="none" w:sz="0" w:space="0" w:color="auto"/>
        <w:left w:val="none" w:sz="0" w:space="0" w:color="auto"/>
        <w:bottom w:val="none" w:sz="0" w:space="0" w:color="auto"/>
        <w:right w:val="none" w:sz="0" w:space="0" w:color="auto"/>
      </w:divBdr>
    </w:div>
    <w:div w:id="560333640">
      <w:bodyDiv w:val="1"/>
      <w:marLeft w:val="0"/>
      <w:marRight w:val="0"/>
      <w:marTop w:val="0"/>
      <w:marBottom w:val="0"/>
      <w:divBdr>
        <w:top w:val="none" w:sz="0" w:space="0" w:color="auto"/>
        <w:left w:val="none" w:sz="0" w:space="0" w:color="auto"/>
        <w:bottom w:val="none" w:sz="0" w:space="0" w:color="auto"/>
        <w:right w:val="none" w:sz="0" w:space="0" w:color="auto"/>
      </w:divBdr>
    </w:div>
    <w:div w:id="563763765">
      <w:bodyDiv w:val="1"/>
      <w:marLeft w:val="0"/>
      <w:marRight w:val="0"/>
      <w:marTop w:val="0"/>
      <w:marBottom w:val="0"/>
      <w:divBdr>
        <w:top w:val="none" w:sz="0" w:space="0" w:color="auto"/>
        <w:left w:val="none" w:sz="0" w:space="0" w:color="auto"/>
        <w:bottom w:val="none" w:sz="0" w:space="0" w:color="auto"/>
        <w:right w:val="none" w:sz="0" w:space="0" w:color="auto"/>
      </w:divBdr>
    </w:div>
    <w:div w:id="565342338">
      <w:bodyDiv w:val="1"/>
      <w:marLeft w:val="0"/>
      <w:marRight w:val="0"/>
      <w:marTop w:val="0"/>
      <w:marBottom w:val="0"/>
      <w:divBdr>
        <w:top w:val="none" w:sz="0" w:space="0" w:color="auto"/>
        <w:left w:val="none" w:sz="0" w:space="0" w:color="auto"/>
        <w:bottom w:val="none" w:sz="0" w:space="0" w:color="auto"/>
        <w:right w:val="none" w:sz="0" w:space="0" w:color="auto"/>
      </w:divBdr>
    </w:div>
    <w:div w:id="568734180">
      <w:bodyDiv w:val="1"/>
      <w:marLeft w:val="0"/>
      <w:marRight w:val="0"/>
      <w:marTop w:val="0"/>
      <w:marBottom w:val="0"/>
      <w:divBdr>
        <w:top w:val="none" w:sz="0" w:space="0" w:color="auto"/>
        <w:left w:val="none" w:sz="0" w:space="0" w:color="auto"/>
        <w:bottom w:val="none" w:sz="0" w:space="0" w:color="auto"/>
        <w:right w:val="none" w:sz="0" w:space="0" w:color="auto"/>
      </w:divBdr>
    </w:div>
    <w:div w:id="569004375">
      <w:bodyDiv w:val="1"/>
      <w:marLeft w:val="0"/>
      <w:marRight w:val="0"/>
      <w:marTop w:val="0"/>
      <w:marBottom w:val="0"/>
      <w:divBdr>
        <w:top w:val="none" w:sz="0" w:space="0" w:color="auto"/>
        <w:left w:val="none" w:sz="0" w:space="0" w:color="auto"/>
        <w:bottom w:val="none" w:sz="0" w:space="0" w:color="auto"/>
        <w:right w:val="none" w:sz="0" w:space="0" w:color="auto"/>
      </w:divBdr>
    </w:div>
    <w:div w:id="579608643">
      <w:bodyDiv w:val="1"/>
      <w:marLeft w:val="0"/>
      <w:marRight w:val="0"/>
      <w:marTop w:val="0"/>
      <w:marBottom w:val="0"/>
      <w:divBdr>
        <w:top w:val="none" w:sz="0" w:space="0" w:color="auto"/>
        <w:left w:val="none" w:sz="0" w:space="0" w:color="auto"/>
        <w:bottom w:val="none" w:sz="0" w:space="0" w:color="auto"/>
        <w:right w:val="none" w:sz="0" w:space="0" w:color="auto"/>
      </w:divBdr>
    </w:div>
    <w:div w:id="580019563">
      <w:bodyDiv w:val="1"/>
      <w:marLeft w:val="0"/>
      <w:marRight w:val="0"/>
      <w:marTop w:val="0"/>
      <w:marBottom w:val="0"/>
      <w:divBdr>
        <w:top w:val="none" w:sz="0" w:space="0" w:color="auto"/>
        <w:left w:val="none" w:sz="0" w:space="0" w:color="auto"/>
        <w:bottom w:val="none" w:sz="0" w:space="0" w:color="auto"/>
        <w:right w:val="none" w:sz="0" w:space="0" w:color="auto"/>
      </w:divBdr>
    </w:div>
    <w:div w:id="586429127">
      <w:bodyDiv w:val="1"/>
      <w:marLeft w:val="0"/>
      <w:marRight w:val="0"/>
      <w:marTop w:val="0"/>
      <w:marBottom w:val="0"/>
      <w:divBdr>
        <w:top w:val="none" w:sz="0" w:space="0" w:color="auto"/>
        <w:left w:val="none" w:sz="0" w:space="0" w:color="auto"/>
        <w:bottom w:val="none" w:sz="0" w:space="0" w:color="auto"/>
        <w:right w:val="none" w:sz="0" w:space="0" w:color="auto"/>
      </w:divBdr>
    </w:div>
    <w:div w:id="590284952">
      <w:bodyDiv w:val="1"/>
      <w:marLeft w:val="0"/>
      <w:marRight w:val="0"/>
      <w:marTop w:val="0"/>
      <w:marBottom w:val="0"/>
      <w:divBdr>
        <w:top w:val="none" w:sz="0" w:space="0" w:color="auto"/>
        <w:left w:val="none" w:sz="0" w:space="0" w:color="auto"/>
        <w:bottom w:val="none" w:sz="0" w:space="0" w:color="auto"/>
        <w:right w:val="none" w:sz="0" w:space="0" w:color="auto"/>
      </w:divBdr>
    </w:div>
    <w:div w:id="595553524">
      <w:bodyDiv w:val="1"/>
      <w:marLeft w:val="0"/>
      <w:marRight w:val="0"/>
      <w:marTop w:val="0"/>
      <w:marBottom w:val="0"/>
      <w:divBdr>
        <w:top w:val="none" w:sz="0" w:space="0" w:color="auto"/>
        <w:left w:val="none" w:sz="0" w:space="0" w:color="auto"/>
        <w:bottom w:val="none" w:sz="0" w:space="0" w:color="auto"/>
        <w:right w:val="none" w:sz="0" w:space="0" w:color="auto"/>
      </w:divBdr>
    </w:div>
    <w:div w:id="601842350">
      <w:bodyDiv w:val="1"/>
      <w:marLeft w:val="0"/>
      <w:marRight w:val="0"/>
      <w:marTop w:val="0"/>
      <w:marBottom w:val="0"/>
      <w:divBdr>
        <w:top w:val="none" w:sz="0" w:space="0" w:color="auto"/>
        <w:left w:val="none" w:sz="0" w:space="0" w:color="auto"/>
        <w:bottom w:val="none" w:sz="0" w:space="0" w:color="auto"/>
        <w:right w:val="none" w:sz="0" w:space="0" w:color="auto"/>
      </w:divBdr>
    </w:div>
    <w:div w:id="602998506">
      <w:bodyDiv w:val="1"/>
      <w:marLeft w:val="0"/>
      <w:marRight w:val="0"/>
      <w:marTop w:val="0"/>
      <w:marBottom w:val="0"/>
      <w:divBdr>
        <w:top w:val="none" w:sz="0" w:space="0" w:color="auto"/>
        <w:left w:val="none" w:sz="0" w:space="0" w:color="auto"/>
        <w:bottom w:val="none" w:sz="0" w:space="0" w:color="auto"/>
        <w:right w:val="none" w:sz="0" w:space="0" w:color="auto"/>
      </w:divBdr>
    </w:div>
    <w:div w:id="603734829">
      <w:bodyDiv w:val="1"/>
      <w:marLeft w:val="0"/>
      <w:marRight w:val="0"/>
      <w:marTop w:val="0"/>
      <w:marBottom w:val="0"/>
      <w:divBdr>
        <w:top w:val="none" w:sz="0" w:space="0" w:color="auto"/>
        <w:left w:val="none" w:sz="0" w:space="0" w:color="auto"/>
        <w:bottom w:val="none" w:sz="0" w:space="0" w:color="auto"/>
        <w:right w:val="none" w:sz="0" w:space="0" w:color="auto"/>
      </w:divBdr>
    </w:div>
    <w:div w:id="604701158">
      <w:bodyDiv w:val="1"/>
      <w:marLeft w:val="0"/>
      <w:marRight w:val="0"/>
      <w:marTop w:val="0"/>
      <w:marBottom w:val="0"/>
      <w:divBdr>
        <w:top w:val="none" w:sz="0" w:space="0" w:color="auto"/>
        <w:left w:val="none" w:sz="0" w:space="0" w:color="auto"/>
        <w:bottom w:val="none" w:sz="0" w:space="0" w:color="auto"/>
        <w:right w:val="none" w:sz="0" w:space="0" w:color="auto"/>
      </w:divBdr>
    </w:div>
    <w:div w:id="605962497">
      <w:bodyDiv w:val="1"/>
      <w:marLeft w:val="0"/>
      <w:marRight w:val="0"/>
      <w:marTop w:val="0"/>
      <w:marBottom w:val="0"/>
      <w:divBdr>
        <w:top w:val="none" w:sz="0" w:space="0" w:color="auto"/>
        <w:left w:val="none" w:sz="0" w:space="0" w:color="auto"/>
        <w:bottom w:val="none" w:sz="0" w:space="0" w:color="auto"/>
        <w:right w:val="none" w:sz="0" w:space="0" w:color="auto"/>
      </w:divBdr>
    </w:div>
    <w:div w:id="608001932">
      <w:bodyDiv w:val="1"/>
      <w:marLeft w:val="0"/>
      <w:marRight w:val="0"/>
      <w:marTop w:val="0"/>
      <w:marBottom w:val="0"/>
      <w:divBdr>
        <w:top w:val="none" w:sz="0" w:space="0" w:color="auto"/>
        <w:left w:val="none" w:sz="0" w:space="0" w:color="auto"/>
        <w:bottom w:val="none" w:sz="0" w:space="0" w:color="auto"/>
        <w:right w:val="none" w:sz="0" w:space="0" w:color="auto"/>
      </w:divBdr>
    </w:div>
    <w:div w:id="613249902">
      <w:bodyDiv w:val="1"/>
      <w:marLeft w:val="0"/>
      <w:marRight w:val="0"/>
      <w:marTop w:val="0"/>
      <w:marBottom w:val="0"/>
      <w:divBdr>
        <w:top w:val="none" w:sz="0" w:space="0" w:color="auto"/>
        <w:left w:val="none" w:sz="0" w:space="0" w:color="auto"/>
        <w:bottom w:val="none" w:sz="0" w:space="0" w:color="auto"/>
        <w:right w:val="none" w:sz="0" w:space="0" w:color="auto"/>
      </w:divBdr>
    </w:div>
    <w:div w:id="618533169">
      <w:bodyDiv w:val="1"/>
      <w:marLeft w:val="0"/>
      <w:marRight w:val="0"/>
      <w:marTop w:val="0"/>
      <w:marBottom w:val="0"/>
      <w:divBdr>
        <w:top w:val="none" w:sz="0" w:space="0" w:color="auto"/>
        <w:left w:val="none" w:sz="0" w:space="0" w:color="auto"/>
        <w:bottom w:val="none" w:sz="0" w:space="0" w:color="auto"/>
        <w:right w:val="none" w:sz="0" w:space="0" w:color="auto"/>
      </w:divBdr>
    </w:div>
    <w:div w:id="618922239">
      <w:bodyDiv w:val="1"/>
      <w:marLeft w:val="0"/>
      <w:marRight w:val="0"/>
      <w:marTop w:val="0"/>
      <w:marBottom w:val="0"/>
      <w:divBdr>
        <w:top w:val="none" w:sz="0" w:space="0" w:color="auto"/>
        <w:left w:val="none" w:sz="0" w:space="0" w:color="auto"/>
        <w:bottom w:val="none" w:sz="0" w:space="0" w:color="auto"/>
        <w:right w:val="none" w:sz="0" w:space="0" w:color="auto"/>
      </w:divBdr>
    </w:div>
    <w:div w:id="627052472">
      <w:bodyDiv w:val="1"/>
      <w:marLeft w:val="0"/>
      <w:marRight w:val="0"/>
      <w:marTop w:val="0"/>
      <w:marBottom w:val="0"/>
      <w:divBdr>
        <w:top w:val="none" w:sz="0" w:space="0" w:color="auto"/>
        <w:left w:val="none" w:sz="0" w:space="0" w:color="auto"/>
        <w:bottom w:val="none" w:sz="0" w:space="0" w:color="auto"/>
        <w:right w:val="none" w:sz="0" w:space="0" w:color="auto"/>
      </w:divBdr>
    </w:div>
    <w:div w:id="638072559">
      <w:bodyDiv w:val="1"/>
      <w:marLeft w:val="0"/>
      <w:marRight w:val="0"/>
      <w:marTop w:val="0"/>
      <w:marBottom w:val="0"/>
      <w:divBdr>
        <w:top w:val="none" w:sz="0" w:space="0" w:color="auto"/>
        <w:left w:val="none" w:sz="0" w:space="0" w:color="auto"/>
        <w:bottom w:val="none" w:sz="0" w:space="0" w:color="auto"/>
        <w:right w:val="none" w:sz="0" w:space="0" w:color="auto"/>
      </w:divBdr>
    </w:div>
    <w:div w:id="639262486">
      <w:bodyDiv w:val="1"/>
      <w:marLeft w:val="0"/>
      <w:marRight w:val="0"/>
      <w:marTop w:val="0"/>
      <w:marBottom w:val="0"/>
      <w:divBdr>
        <w:top w:val="none" w:sz="0" w:space="0" w:color="auto"/>
        <w:left w:val="none" w:sz="0" w:space="0" w:color="auto"/>
        <w:bottom w:val="none" w:sz="0" w:space="0" w:color="auto"/>
        <w:right w:val="none" w:sz="0" w:space="0" w:color="auto"/>
      </w:divBdr>
    </w:div>
    <w:div w:id="642122872">
      <w:bodyDiv w:val="1"/>
      <w:marLeft w:val="0"/>
      <w:marRight w:val="0"/>
      <w:marTop w:val="0"/>
      <w:marBottom w:val="0"/>
      <w:divBdr>
        <w:top w:val="none" w:sz="0" w:space="0" w:color="auto"/>
        <w:left w:val="none" w:sz="0" w:space="0" w:color="auto"/>
        <w:bottom w:val="none" w:sz="0" w:space="0" w:color="auto"/>
        <w:right w:val="none" w:sz="0" w:space="0" w:color="auto"/>
      </w:divBdr>
    </w:div>
    <w:div w:id="643045203">
      <w:bodyDiv w:val="1"/>
      <w:marLeft w:val="0"/>
      <w:marRight w:val="0"/>
      <w:marTop w:val="0"/>
      <w:marBottom w:val="0"/>
      <w:divBdr>
        <w:top w:val="none" w:sz="0" w:space="0" w:color="auto"/>
        <w:left w:val="none" w:sz="0" w:space="0" w:color="auto"/>
        <w:bottom w:val="none" w:sz="0" w:space="0" w:color="auto"/>
        <w:right w:val="none" w:sz="0" w:space="0" w:color="auto"/>
      </w:divBdr>
    </w:div>
    <w:div w:id="645863899">
      <w:bodyDiv w:val="1"/>
      <w:marLeft w:val="0"/>
      <w:marRight w:val="0"/>
      <w:marTop w:val="0"/>
      <w:marBottom w:val="0"/>
      <w:divBdr>
        <w:top w:val="none" w:sz="0" w:space="0" w:color="auto"/>
        <w:left w:val="none" w:sz="0" w:space="0" w:color="auto"/>
        <w:bottom w:val="none" w:sz="0" w:space="0" w:color="auto"/>
        <w:right w:val="none" w:sz="0" w:space="0" w:color="auto"/>
      </w:divBdr>
    </w:div>
    <w:div w:id="648828494">
      <w:bodyDiv w:val="1"/>
      <w:marLeft w:val="0"/>
      <w:marRight w:val="0"/>
      <w:marTop w:val="0"/>
      <w:marBottom w:val="0"/>
      <w:divBdr>
        <w:top w:val="none" w:sz="0" w:space="0" w:color="auto"/>
        <w:left w:val="none" w:sz="0" w:space="0" w:color="auto"/>
        <w:bottom w:val="none" w:sz="0" w:space="0" w:color="auto"/>
        <w:right w:val="none" w:sz="0" w:space="0" w:color="auto"/>
      </w:divBdr>
    </w:div>
    <w:div w:id="651328898">
      <w:bodyDiv w:val="1"/>
      <w:marLeft w:val="0"/>
      <w:marRight w:val="0"/>
      <w:marTop w:val="0"/>
      <w:marBottom w:val="0"/>
      <w:divBdr>
        <w:top w:val="none" w:sz="0" w:space="0" w:color="auto"/>
        <w:left w:val="none" w:sz="0" w:space="0" w:color="auto"/>
        <w:bottom w:val="none" w:sz="0" w:space="0" w:color="auto"/>
        <w:right w:val="none" w:sz="0" w:space="0" w:color="auto"/>
      </w:divBdr>
    </w:div>
    <w:div w:id="655840846">
      <w:bodyDiv w:val="1"/>
      <w:marLeft w:val="0"/>
      <w:marRight w:val="0"/>
      <w:marTop w:val="0"/>
      <w:marBottom w:val="0"/>
      <w:divBdr>
        <w:top w:val="none" w:sz="0" w:space="0" w:color="auto"/>
        <w:left w:val="none" w:sz="0" w:space="0" w:color="auto"/>
        <w:bottom w:val="none" w:sz="0" w:space="0" w:color="auto"/>
        <w:right w:val="none" w:sz="0" w:space="0" w:color="auto"/>
      </w:divBdr>
    </w:div>
    <w:div w:id="658994625">
      <w:bodyDiv w:val="1"/>
      <w:marLeft w:val="0"/>
      <w:marRight w:val="0"/>
      <w:marTop w:val="0"/>
      <w:marBottom w:val="0"/>
      <w:divBdr>
        <w:top w:val="none" w:sz="0" w:space="0" w:color="auto"/>
        <w:left w:val="none" w:sz="0" w:space="0" w:color="auto"/>
        <w:bottom w:val="none" w:sz="0" w:space="0" w:color="auto"/>
        <w:right w:val="none" w:sz="0" w:space="0" w:color="auto"/>
      </w:divBdr>
    </w:div>
    <w:div w:id="664817894">
      <w:bodyDiv w:val="1"/>
      <w:marLeft w:val="0"/>
      <w:marRight w:val="0"/>
      <w:marTop w:val="0"/>
      <w:marBottom w:val="0"/>
      <w:divBdr>
        <w:top w:val="none" w:sz="0" w:space="0" w:color="auto"/>
        <w:left w:val="none" w:sz="0" w:space="0" w:color="auto"/>
        <w:bottom w:val="none" w:sz="0" w:space="0" w:color="auto"/>
        <w:right w:val="none" w:sz="0" w:space="0" w:color="auto"/>
      </w:divBdr>
    </w:div>
    <w:div w:id="670136542">
      <w:bodyDiv w:val="1"/>
      <w:marLeft w:val="0"/>
      <w:marRight w:val="0"/>
      <w:marTop w:val="0"/>
      <w:marBottom w:val="0"/>
      <w:divBdr>
        <w:top w:val="none" w:sz="0" w:space="0" w:color="auto"/>
        <w:left w:val="none" w:sz="0" w:space="0" w:color="auto"/>
        <w:bottom w:val="none" w:sz="0" w:space="0" w:color="auto"/>
        <w:right w:val="none" w:sz="0" w:space="0" w:color="auto"/>
      </w:divBdr>
    </w:div>
    <w:div w:id="671219914">
      <w:bodyDiv w:val="1"/>
      <w:marLeft w:val="0"/>
      <w:marRight w:val="0"/>
      <w:marTop w:val="0"/>
      <w:marBottom w:val="0"/>
      <w:divBdr>
        <w:top w:val="none" w:sz="0" w:space="0" w:color="auto"/>
        <w:left w:val="none" w:sz="0" w:space="0" w:color="auto"/>
        <w:bottom w:val="none" w:sz="0" w:space="0" w:color="auto"/>
        <w:right w:val="none" w:sz="0" w:space="0" w:color="auto"/>
      </w:divBdr>
    </w:div>
    <w:div w:id="671832758">
      <w:bodyDiv w:val="1"/>
      <w:marLeft w:val="0"/>
      <w:marRight w:val="0"/>
      <w:marTop w:val="0"/>
      <w:marBottom w:val="0"/>
      <w:divBdr>
        <w:top w:val="none" w:sz="0" w:space="0" w:color="auto"/>
        <w:left w:val="none" w:sz="0" w:space="0" w:color="auto"/>
        <w:bottom w:val="none" w:sz="0" w:space="0" w:color="auto"/>
        <w:right w:val="none" w:sz="0" w:space="0" w:color="auto"/>
      </w:divBdr>
    </w:div>
    <w:div w:id="684868862">
      <w:bodyDiv w:val="1"/>
      <w:marLeft w:val="0"/>
      <w:marRight w:val="0"/>
      <w:marTop w:val="0"/>
      <w:marBottom w:val="0"/>
      <w:divBdr>
        <w:top w:val="none" w:sz="0" w:space="0" w:color="auto"/>
        <w:left w:val="none" w:sz="0" w:space="0" w:color="auto"/>
        <w:bottom w:val="none" w:sz="0" w:space="0" w:color="auto"/>
        <w:right w:val="none" w:sz="0" w:space="0" w:color="auto"/>
      </w:divBdr>
    </w:div>
    <w:div w:id="686907606">
      <w:bodyDiv w:val="1"/>
      <w:marLeft w:val="0"/>
      <w:marRight w:val="0"/>
      <w:marTop w:val="0"/>
      <w:marBottom w:val="0"/>
      <w:divBdr>
        <w:top w:val="none" w:sz="0" w:space="0" w:color="auto"/>
        <w:left w:val="none" w:sz="0" w:space="0" w:color="auto"/>
        <w:bottom w:val="none" w:sz="0" w:space="0" w:color="auto"/>
        <w:right w:val="none" w:sz="0" w:space="0" w:color="auto"/>
      </w:divBdr>
    </w:div>
    <w:div w:id="687022895">
      <w:bodyDiv w:val="1"/>
      <w:marLeft w:val="0"/>
      <w:marRight w:val="0"/>
      <w:marTop w:val="0"/>
      <w:marBottom w:val="0"/>
      <w:divBdr>
        <w:top w:val="none" w:sz="0" w:space="0" w:color="auto"/>
        <w:left w:val="none" w:sz="0" w:space="0" w:color="auto"/>
        <w:bottom w:val="none" w:sz="0" w:space="0" w:color="auto"/>
        <w:right w:val="none" w:sz="0" w:space="0" w:color="auto"/>
      </w:divBdr>
    </w:div>
    <w:div w:id="694693509">
      <w:bodyDiv w:val="1"/>
      <w:marLeft w:val="0"/>
      <w:marRight w:val="0"/>
      <w:marTop w:val="0"/>
      <w:marBottom w:val="0"/>
      <w:divBdr>
        <w:top w:val="none" w:sz="0" w:space="0" w:color="auto"/>
        <w:left w:val="none" w:sz="0" w:space="0" w:color="auto"/>
        <w:bottom w:val="none" w:sz="0" w:space="0" w:color="auto"/>
        <w:right w:val="none" w:sz="0" w:space="0" w:color="auto"/>
      </w:divBdr>
    </w:div>
    <w:div w:id="696128410">
      <w:bodyDiv w:val="1"/>
      <w:marLeft w:val="0"/>
      <w:marRight w:val="0"/>
      <w:marTop w:val="0"/>
      <w:marBottom w:val="0"/>
      <w:divBdr>
        <w:top w:val="none" w:sz="0" w:space="0" w:color="auto"/>
        <w:left w:val="none" w:sz="0" w:space="0" w:color="auto"/>
        <w:bottom w:val="none" w:sz="0" w:space="0" w:color="auto"/>
        <w:right w:val="none" w:sz="0" w:space="0" w:color="auto"/>
      </w:divBdr>
    </w:div>
    <w:div w:id="700589683">
      <w:bodyDiv w:val="1"/>
      <w:marLeft w:val="0"/>
      <w:marRight w:val="0"/>
      <w:marTop w:val="0"/>
      <w:marBottom w:val="0"/>
      <w:divBdr>
        <w:top w:val="none" w:sz="0" w:space="0" w:color="auto"/>
        <w:left w:val="none" w:sz="0" w:space="0" w:color="auto"/>
        <w:bottom w:val="none" w:sz="0" w:space="0" w:color="auto"/>
        <w:right w:val="none" w:sz="0" w:space="0" w:color="auto"/>
      </w:divBdr>
    </w:div>
    <w:div w:id="703020526">
      <w:bodyDiv w:val="1"/>
      <w:marLeft w:val="0"/>
      <w:marRight w:val="0"/>
      <w:marTop w:val="0"/>
      <w:marBottom w:val="0"/>
      <w:divBdr>
        <w:top w:val="none" w:sz="0" w:space="0" w:color="auto"/>
        <w:left w:val="none" w:sz="0" w:space="0" w:color="auto"/>
        <w:bottom w:val="none" w:sz="0" w:space="0" w:color="auto"/>
        <w:right w:val="none" w:sz="0" w:space="0" w:color="auto"/>
      </w:divBdr>
    </w:div>
    <w:div w:id="707295508">
      <w:bodyDiv w:val="1"/>
      <w:marLeft w:val="0"/>
      <w:marRight w:val="0"/>
      <w:marTop w:val="0"/>
      <w:marBottom w:val="0"/>
      <w:divBdr>
        <w:top w:val="none" w:sz="0" w:space="0" w:color="auto"/>
        <w:left w:val="none" w:sz="0" w:space="0" w:color="auto"/>
        <w:bottom w:val="none" w:sz="0" w:space="0" w:color="auto"/>
        <w:right w:val="none" w:sz="0" w:space="0" w:color="auto"/>
      </w:divBdr>
    </w:div>
    <w:div w:id="710034088">
      <w:bodyDiv w:val="1"/>
      <w:marLeft w:val="0"/>
      <w:marRight w:val="0"/>
      <w:marTop w:val="0"/>
      <w:marBottom w:val="0"/>
      <w:divBdr>
        <w:top w:val="none" w:sz="0" w:space="0" w:color="auto"/>
        <w:left w:val="none" w:sz="0" w:space="0" w:color="auto"/>
        <w:bottom w:val="none" w:sz="0" w:space="0" w:color="auto"/>
        <w:right w:val="none" w:sz="0" w:space="0" w:color="auto"/>
      </w:divBdr>
    </w:div>
    <w:div w:id="711465885">
      <w:bodyDiv w:val="1"/>
      <w:marLeft w:val="0"/>
      <w:marRight w:val="0"/>
      <w:marTop w:val="0"/>
      <w:marBottom w:val="0"/>
      <w:divBdr>
        <w:top w:val="none" w:sz="0" w:space="0" w:color="auto"/>
        <w:left w:val="none" w:sz="0" w:space="0" w:color="auto"/>
        <w:bottom w:val="none" w:sz="0" w:space="0" w:color="auto"/>
        <w:right w:val="none" w:sz="0" w:space="0" w:color="auto"/>
      </w:divBdr>
    </w:div>
    <w:div w:id="712771867">
      <w:bodyDiv w:val="1"/>
      <w:marLeft w:val="0"/>
      <w:marRight w:val="0"/>
      <w:marTop w:val="0"/>
      <w:marBottom w:val="0"/>
      <w:divBdr>
        <w:top w:val="none" w:sz="0" w:space="0" w:color="auto"/>
        <w:left w:val="none" w:sz="0" w:space="0" w:color="auto"/>
        <w:bottom w:val="none" w:sz="0" w:space="0" w:color="auto"/>
        <w:right w:val="none" w:sz="0" w:space="0" w:color="auto"/>
      </w:divBdr>
    </w:div>
    <w:div w:id="713389803">
      <w:bodyDiv w:val="1"/>
      <w:marLeft w:val="0"/>
      <w:marRight w:val="0"/>
      <w:marTop w:val="0"/>
      <w:marBottom w:val="0"/>
      <w:divBdr>
        <w:top w:val="none" w:sz="0" w:space="0" w:color="auto"/>
        <w:left w:val="none" w:sz="0" w:space="0" w:color="auto"/>
        <w:bottom w:val="none" w:sz="0" w:space="0" w:color="auto"/>
        <w:right w:val="none" w:sz="0" w:space="0" w:color="auto"/>
      </w:divBdr>
    </w:div>
    <w:div w:id="713894794">
      <w:bodyDiv w:val="1"/>
      <w:marLeft w:val="0"/>
      <w:marRight w:val="0"/>
      <w:marTop w:val="0"/>
      <w:marBottom w:val="0"/>
      <w:divBdr>
        <w:top w:val="none" w:sz="0" w:space="0" w:color="auto"/>
        <w:left w:val="none" w:sz="0" w:space="0" w:color="auto"/>
        <w:bottom w:val="none" w:sz="0" w:space="0" w:color="auto"/>
        <w:right w:val="none" w:sz="0" w:space="0" w:color="auto"/>
      </w:divBdr>
    </w:div>
    <w:div w:id="735931369">
      <w:bodyDiv w:val="1"/>
      <w:marLeft w:val="0"/>
      <w:marRight w:val="0"/>
      <w:marTop w:val="0"/>
      <w:marBottom w:val="0"/>
      <w:divBdr>
        <w:top w:val="none" w:sz="0" w:space="0" w:color="auto"/>
        <w:left w:val="none" w:sz="0" w:space="0" w:color="auto"/>
        <w:bottom w:val="none" w:sz="0" w:space="0" w:color="auto"/>
        <w:right w:val="none" w:sz="0" w:space="0" w:color="auto"/>
      </w:divBdr>
    </w:div>
    <w:div w:id="736241894">
      <w:bodyDiv w:val="1"/>
      <w:marLeft w:val="0"/>
      <w:marRight w:val="0"/>
      <w:marTop w:val="0"/>
      <w:marBottom w:val="0"/>
      <w:divBdr>
        <w:top w:val="none" w:sz="0" w:space="0" w:color="auto"/>
        <w:left w:val="none" w:sz="0" w:space="0" w:color="auto"/>
        <w:bottom w:val="none" w:sz="0" w:space="0" w:color="auto"/>
        <w:right w:val="none" w:sz="0" w:space="0" w:color="auto"/>
      </w:divBdr>
    </w:div>
    <w:div w:id="738527003">
      <w:bodyDiv w:val="1"/>
      <w:marLeft w:val="0"/>
      <w:marRight w:val="0"/>
      <w:marTop w:val="0"/>
      <w:marBottom w:val="0"/>
      <w:divBdr>
        <w:top w:val="none" w:sz="0" w:space="0" w:color="auto"/>
        <w:left w:val="none" w:sz="0" w:space="0" w:color="auto"/>
        <w:bottom w:val="none" w:sz="0" w:space="0" w:color="auto"/>
        <w:right w:val="none" w:sz="0" w:space="0" w:color="auto"/>
      </w:divBdr>
    </w:div>
    <w:div w:id="738556155">
      <w:bodyDiv w:val="1"/>
      <w:marLeft w:val="0"/>
      <w:marRight w:val="0"/>
      <w:marTop w:val="0"/>
      <w:marBottom w:val="0"/>
      <w:divBdr>
        <w:top w:val="none" w:sz="0" w:space="0" w:color="auto"/>
        <w:left w:val="none" w:sz="0" w:space="0" w:color="auto"/>
        <w:bottom w:val="none" w:sz="0" w:space="0" w:color="auto"/>
        <w:right w:val="none" w:sz="0" w:space="0" w:color="auto"/>
      </w:divBdr>
    </w:div>
    <w:div w:id="741760340">
      <w:bodyDiv w:val="1"/>
      <w:marLeft w:val="0"/>
      <w:marRight w:val="0"/>
      <w:marTop w:val="0"/>
      <w:marBottom w:val="0"/>
      <w:divBdr>
        <w:top w:val="none" w:sz="0" w:space="0" w:color="auto"/>
        <w:left w:val="none" w:sz="0" w:space="0" w:color="auto"/>
        <w:bottom w:val="none" w:sz="0" w:space="0" w:color="auto"/>
        <w:right w:val="none" w:sz="0" w:space="0" w:color="auto"/>
      </w:divBdr>
    </w:div>
    <w:div w:id="750084686">
      <w:bodyDiv w:val="1"/>
      <w:marLeft w:val="0"/>
      <w:marRight w:val="0"/>
      <w:marTop w:val="0"/>
      <w:marBottom w:val="0"/>
      <w:divBdr>
        <w:top w:val="none" w:sz="0" w:space="0" w:color="auto"/>
        <w:left w:val="none" w:sz="0" w:space="0" w:color="auto"/>
        <w:bottom w:val="none" w:sz="0" w:space="0" w:color="auto"/>
        <w:right w:val="none" w:sz="0" w:space="0" w:color="auto"/>
      </w:divBdr>
    </w:div>
    <w:div w:id="758523259">
      <w:bodyDiv w:val="1"/>
      <w:marLeft w:val="0"/>
      <w:marRight w:val="0"/>
      <w:marTop w:val="0"/>
      <w:marBottom w:val="0"/>
      <w:divBdr>
        <w:top w:val="none" w:sz="0" w:space="0" w:color="auto"/>
        <w:left w:val="none" w:sz="0" w:space="0" w:color="auto"/>
        <w:bottom w:val="none" w:sz="0" w:space="0" w:color="auto"/>
        <w:right w:val="none" w:sz="0" w:space="0" w:color="auto"/>
      </w:divBdr>
    </w:div>
    <w:div w:id="760490368">
      <w:bodyDiv w:val="1"/>
      <w:marLeft w:val="0"/>
      <w:marRight w:val="0"/>
      <w:marTop w:val="0"/>
      <w:marBottom w:val="0"/>
      <w:divBdr>
        <w:top w:val="none" w:sz="0" w:space="0" w:color="auto"/>
        <w:left w:val="none" w:sz="0" w:space="0" w:color="auto"/>
        <w:bottom w:val="none" w:sz="0" w:space="0" w:color="auto"/>
        <w:right w:val="none" w:sz="0" w:space="0" w:color="auto"/>
      </w:divBdr>
    </w:div>
    <w:div w:id="763766772">
      <w:bodyDiv w:val="1"/>
      <w:marLeft w:val="0"/>
      <w:marRight w:val="0"/>
      <w:marTop w:val="0"/>
      <w:marBottom w:val="0"/>
      <w:divBdr>
        <w:top w:val="none" w:sz="0" w:space="0" w:color="auto"/>
        <w:left w:val="none" w:sz="0" w:space="0" w:color="auto"/>
        <w:bottom w:val="none" w:sz="0" w:space="0" w:color="auto"/>
        <w:right w:val="none" w:sz="0" w:space="0" w:color="auto"/>
      </w:divBdr>
    </w:div>
    <w:div w:id="771125399">
      <w:bodyDiv w:val="1"/>
      <w:marLeft w:val="0"/>
      <w:marRight w:val="0"/>
      <w:marTop w:val="0"/>
      <w:marBottom w:val="0"/>
      <w:divBdr>
        <w:top w:val="none" w:sz="0" w:space="0" w:color="auto"/>
        <w:left w:val="none" w:sz="0" w:space="0" w:color="auto"/>
        <w:bottom w:val="none" w:sz="0" w:space="0" w:color="auto"/>
        <w:right w:val="none" w:sz="0" w:space="0" w:color="auto"/>
      </w:divBdr>
    </w:div>
    <w:div w:id="775636596">
      <w:bodyDiv w:val="1"/>
      <w:marLeft w:val="0"/>
      <w:marRight w:val="0"/>
      <w:marTop w:val="0"/>
      <w:marBottom w:val="0"/>
      <w:divBdr>
        <w:top w:val="none" w:sz="0" w:space="0" w:color="auto"/>
        <w:left w:val="none" w:sz="0" w:space="0" w:color="auto"/>
        <w:bottom w:val="none" w:sz="0" w:space="0" w:color="auto"/>
        <w:right w:val="none" w:sz="0" w:space="0" w:color="auto"/>
      </w:divBdr>
    </w:div>
    <w:div w:id="776287815">
      <w:bodyDiv w:val="1"/>
      <w:marLeft w:val="0"/>
      <w:marRight w:val="0"/>
      <w:marTop w:val="0"/>
      <w:marBottom w:val="0"/>
      <w:divBdr>
        <w:top w:val="none" w:sz="0" w:space="0" w:color="auto"/>
        <w:left w:val="none" w:sz="0" w:space="0" w:color="auto"/>
        <w:bottom w:val="none" w:sz="0" w:space="0" w:color="auto"/>
        <w:right w:val="none" w:sz="0" w:space="0" w:color="auto"/>
      </w:divBdr>
    </w:div>
    <w:div w:id="780344629">
      <w:bodyDiv w:val="1"/>
      <w:marLeft w:val="0"/>
      <w:marRight w:val="0"/>
      <w:marTop w:val="0"/>
      <w:marBottom w:val="0"/>
      <w:divBdr>
        <w:top w:val="none" w:sz="0" w:space="0" w:color="auto"/>
        <w:left w:val="none" w:sz="0" w:space="0" w:color="auto"/>
        <w:bottom w:val="none" w:sz="0" w:space="0" w:color="auto"/>
        <w:right w:val="none" w:sz="0" w:space="0" w:color="auto"/>
      </w:divBdr>
    </w:div>
    <w:div w:id="783571534">
      <w:bodyDiv w:val="1"/>
      <w:marLeft w:val="0"/>
      <w:marRight w:val="0"/>
      <w:marTop w:val="0"/>
      <w:marBottom w:val="0"/>
      <w:divBdr>
        <w:top w:val="none" w:sz="0" w:space="0" w:color="auto"/>
        <w:left w:val="none" w:sz="0" w:space="0" w:color="auto"/>
        <w:bottom w:val="none" w:sz="0" w:space="0" w:color="auto"/>
        <w:right w:val="none" w:sz="0" w:space="0" w:color="auto"/>
      </w:divBdr>
    </w:div>
    <w:div w:id="785932623">
      <w:bodyDiv w:val="1"/>
      <w:marLeft w:val="0"/>
      <w:marRight w:val="0"/>
      <w:marTop w:val="0"/>
      <w:marBottom w:val="0"/>
      <w:divBdr>
        <w:top w:val="none" w:sz="0" w:space="0" w:color="auto"/>
        <w:left w:val="none" w:sz="0" w:space="0" w:color="auto"/>
        <w:bottom w:val="none" w:sz="0" w:space="0" w:color="auto"/>
        <w:right w:val="none" w:sz="0" w:space="0" w:color="auto"/>
      </w:divBdr>
    </w:div>
    <w:div w:id="792871924">
      <w:bodyDiv w:val="1"/>
      <w:marLeft w:val="0"/>
      <w:marRight w:val="0"/>
      <w:marTop w:val="0"/>
      <w:marBottom w:val="0"/>
      <w:divBdr>
        <w:top w:val="none" w:sz="0" w:space="0" w:color="auto"/>
        <w:left w:val="none" w:sz="0" w:space="0" w:color="auto"/>
        <w:bottom w:val="none" w:sz="0" w:space="0" w:color="auto"/>
        <w:right w:val="none" w:sz="0" w:space="0" w:color="auto"/>
      </w:divBdr>
    </w:div>
    <w:div w:id="799298063">
      <w:bodyDiv w:val="1"/>
      <w:marLeft w:val="0"/>
      <w:marRight w:val="0"/>
      <w:marTop w:val="0"/>
      <w:marBottom w:val="0"/>
      <w:divBdr>
        <w:top w:val="none" w:sz="0" w:space="0" w:color="auto"/>
        <w:left w:val="none" w:sz="0" w:space="0" w:color="auto"/>
        <w:bottom w:val="none" w:sz="0" w:space="0" w:color="auto"/>
        <w:right w:val="none" w:sz="0" w:space="0" w:color="auto"/>
      </w:divBdr>
    </w:div>
    <w:div w:id="803812997">
      <w:bodyDiv w:val="1"/>
      <w:marLeft w:val="0"/>
      <w:marRight w:val="0"/>
      <w:marTop w:val="0"/>
      <w:marBottom w:val="0"/>
      <w:divBdr>
        <w:top w:val="none" w:sz="0" w:space="0" w:color="auto"/>
        <w:left w:val="none" w:sz="0" w:space="0" w:color="auto"/>
        <w:bottom w:val="none" w:sz="0" w:space="0" w:color="auto"/>
        <w:right w:val="none" w:sz="0" w:space="0" w:color="auto"/>
      </w:divBdr>
    </w:div>
    <w:div w:id="805391414">
      <w:bodyDiv w:val="1"/>
      <w:marLeft w:val="0"/>
      <w:marRight w:val="0"/>
      <w:marTop w:val="0"/>
      <w:marBottom w:val="0"/>
      <w:divBdr>
        <w:top w:val="none" w:sz="0" w:space="0" w:color="auto"/>
        <w:left w:val="none" w:sz="0" w:space="0" w:color="auto"/>
        <w:bottom w:val="none" w:sz="0" w:space="0" w:color="auto"/>
        <w:right w:val="none" w:sz="0" w:space="0" w:color="auto"/>
      </w:divBdr>
    </w:div>
    <w:div w:id="818691325">
      <w:bodyDiv w:val="1"/>
      <w:marLeft w:val="0"/>
      <w:marRight w:val="0"/>
      <w:marTop w:val="0"/>
      <w:marBottom w:val="0"/>
      <w:divBdr>
        <w:top w:val="none" w:sz="0" w:space="0" w:color="auto"/>
        <w:left w:val="none" w:sz="0" w:space="0" w:color="auto"/>
        <w:bottom w:val="none" w:sz="0" w:space="0" w:color="auto"/>
        <w:right w:val="none" w:sz="0" w:space="0" w:color="auto"/>
      </w:divBdr>
    </w:div>
    <w:div w:id="820972441">
      <w:bodyDiv w:val="1"/>
      <w:marLeft w:val="0"/>
      <w:marRight w:val="0"/>
      <w:marTop w:val="0"/>
      <w:marBottom w:val="0"/>
      <w:divBdr>
        <w:top w:val="none" w:sz="0" w:space="0" w:color="auto"/>
        <w:left w:val="none" w:sz="0" w:space="0" w:color="auto"/>
        <w:bottom w:val="none" w:sz="0" w:space="0" w:color="auto"/>
        <w:right w:val="none" w:sz="0" w:space="0" w:color="auto"/>
      </w:divBdr>
    </w:div>
    <w:div w:id="823668252">
      <w:bodyDiv w:val="1"/>
      <w:marLeft w:val="0"/>
      <w:marRight w:val="0"/>
      <w:marTop w:val="0"/>
      <w:marBottom w:val="0"/>
      <w:divBdr>
        <w:top w:val="none" w:sz="0" w:space="0" w:color="auto"/>
        <w:left w:val="none" w:sz="0" w:space="0" w:color="auto"/>
        <w:bottom w:val="none" w:sz="0" w:space="0" w:color="auto"/>
        <w:right w:val="none" w:sz="0" w:space="0" w:color="auto"/>
      </w:divBdr>
    </w:div>
    <w:div w:id="828643087">
      <w:bodyDiv w:val="1"/>
      <w:marLeft w:val="0"/>
      <w:marRight w:val="0"/>
      <w:marTop w:val="0"/>
      <w:marBottom w:val="0"/>
      <w:divBdr>
        <w:top w:val="none" w:sz="0" w:space="0" w:color="auto"/>
        <w:left w:val="none" w:sz="0" w:space="0" w:color="auto"/>
        <w:bottom w:val="none" w:sz="0" w:space="0" w:color="auto"/>
        <w:right w:val="none" w:sz="0" w:space="0" w:color="auto"/>
      </w:divBdr>
    </w:div>
    <w:div w:id="836917143">
      <w:bodyDiv w:val="1"/>
      <w:marLeft w:val="0"/>
      <w:marRight w:val="0"/>
      <w:marTop w:val="0"/>
      <w:marBottom w:val="0"/>
      <w:divBdr>
        <w:top w:val="none" w:sz="0" w:space="0" w:color="auto"/>
        <w:left w:val="none" w:sz="0" w:space="0" w:color="auto"/>
        <w:bottom w:val="none" w:sz="0" w:space="0" w:color="auto"/>
        <w:right w:val="none" w:sz="0" w:space="0" w:color="auto"/>
      </w:divBdr>
    </w:div>
    <w:div w:id="839852071">
      <w:bodyDiv w:val="1"/>
      <w:marLeft w:val="0"/>
      <w:marRight w:val="0"/>
      <w:marTop w:val="0"/>
      <w:marBottom w:val="0"/>
      <w:divBdr>
        <w:top w:val="none" w:sz="0" w:space="0" w:color="auto"/>
        <w:left w:val="none" w:sz="0" w:space="0" w:color="auto"/>
        <w:bottom w:val="none" w:sz="0" w:space="0" w:color="auto"/>
        <w:right w:val="none" w:sz="0" w:space="0" w:color="auto"/>
      </w:divBdr>
    </w:div>
    <w:div w:id="841043177">
      <w:bodyDiv w:val="1"/>
      <w:marLeft w:val="0"/>
      <w:marRight w:val="0"/>
      <w:marTop w:val="0"/>
      <w:marBottom w:val="0"/>
      <w:divBdr>
        <w:top w:val="none" w:sz="0" w:space="0" w:color="auto"/>
        <w:left w:val="none" w:sz="0" w:space="0" w:color="auto"/>
        <w:bottom w:val="none" w:sz="0" w:space="0" w:color="auto"/>
        <w:right w:val="none" w:sz="0" w:space="0" w:color="auto"/>
      </w:divBdr>
    </w:div>
    <w:div w:id="846748727">
      <w:bodyDiv w:val="1"/>
      <w:marLeft w:val="0"/>
      <w:marRight w:val="0"/>
      <w:marTop w:val="0"/>
      <w:marBottom w:val="0"/>
      <w:divBdr>
        <w:top w:val="none" w:sz="0" w:space="0" w:color="auto"/>
        <w:left w:val="none" w:sz="0" w:space="0" w:color="auto"/>
        <w:bottom w:val="none" w:sz="0" w:space="0" w:color="auto"/>
        <w:right w:val="none" w:sz="0" w:space="0" w:color="auto"/>
      </w:divBdr>
    </w:div>
    <w:div w:id="855581321">
      <w:bodyDiv w:val="1"/>
      <w:marLeft w:val="0"/>
      <w:marRight w:val="0"/>
      <w:marTop w:val="0"/>
      <w:marBottom w:val="0"/>
      <w:divBdr>
        <w:top w:val="none" w:sz="0" w:space="0" w:color="auto"/>
        <w:left w:val="none" w:sz="0" w:space="0" w:color="auto"/>
        <w:bottom w:val="none" w:sz="0" w:space="0" w:color="auto"/>
        <w:right w:val="none" w:sz="0" w:space="0" w:color="auto"/>
      </w:divBdr>
    </w:div>
    <w:div w:id="858547379">
      <w:bodyDiv w:val="1"/>
      <w:marLeft w:val="0"/>
      <w:marRight w:val="0"/>
      <w:marTop w:val="0"/>
      <w:marBottom w:val="0"/>
      <w:divBdr>
        <w:top w:val="none" w:sz="0" w:space="0" w:color="auto"/>
        <w:left w:val="none" w:sz="0" w:space="0" w:color="auto"/>
        <w:bottom w:val="none" w:sz="0" w:space="0" w:color="auto"/>
        <w:right w:val="none" w:sz="0" w:space="0" w:color="auto"/>
      </w:divBdr>
    </w:div>
    <w:div w:id="860554250">
      <w:bodyDiv w:val="1"/>
      <w:marLeft w:val="0"/>
      <w:marRight w:val="0"/>
      <w:marTop w:val="0"/>
      <w:marBottom w:val="0"/>
      <w:divBdr>
        <w:top w:val="none" w:sz="0" w:space="0" w:color="auto"/>
        <w:left w:val="none" w:sz="0" w:space="0" w:color="auto"/>
        <w:bottom w:val="none" w:sz="0" w:space="0" w:color="auto"/>
        <w:right w:val="none" w:sz="0" w:space="0" w:color="auto"/>
      </w:divBdr>
    </w:div>
    <w:div w:id="863977721">
      <w:bodyDiv w:val="1"/>
      <w:marLeft w:val="0"/>
      <w:marRight w:val="0"/>
      <w:marTop w:val="0"/>
      <w:marBottom w:val="0"/>
      <w:divBdr>
        <w:top w:val="none" w:sz="0" w:space="0" w:color="auto"/>
        <w:left w:val="none" w:sz="0" w:space="0" w:color="auto"/>
        <w:bottom w:val="none" w:sz="0" w:space="0" w:color="auto"/>
        <w:right w:val="none" w:sz="0" w:space="0" w:color="auto"/>
      </w:divBdr>
    </w:div>
    <w:div w:id="873494288">
      <w:bodyDiv w:val="1"/>
      <w:marLeft w:val="0"/>
      <w:marRight w:val="0"/>
      <w:marTop w:val="0"/>
      <w:marBottom w:val="0"/>
      <w:divBdr>
        <w:top w:val="none" w:sz="0" w:space="0" w:color="auto"/>
        <w:left w:val="none" w:sz="0" w:space="0" w:color="auto"/>
        <w:bottom w:val="none" w:sz="0" w:space="0" w:color="auto"/>
        <w:right w:val="none" w:sz="0" w:space="0" w:color="auto"/>
      </w:divBdr>
    </w:div>
    <w:div w:id="876699232">
      <w:bodyDiv w:val="1"/>
      <w:marLeft w:val="0"/>
      <w:marRight w:val="0"/>
      <w:marTop w:val="0"/>
      <w:marBottom w:val="0"/>
      <w:divBdr>
        <w:top w:val="none" w:sz="0" w:space="0" w:color="auto"/>
        <w:left w:val="none" w:sz="0" w:space="0" w:color="auto"/>
        <w:bottom w:val="none" w:sz="0" w:space="0" w:color="auto"/>
        <w:right w:val="none" w:sz="0" w:space="0" w:color="auto"/>
      </w:divBdr>
    </w:div>
    <w:div w:id="878469922">
      <w:bodyDiv w:val="1"/>
      <w:marLeft w:val="0"/>
      <w:marRight w:val="0"/>
      <w:marTop w:val="0"/>
      <w:marBottom w:val="0"/>
      <w:divBdr>
        <w:top w:val="none" w:sz="0" w:space="0" w:color="auto"/>
        <w:left w:val="none" w:sz="0" w:space="0" w:color="auto"/>
        <w:bottom w:val="none" w:sz="0" w:space="0" w:color="auto"/>
        <w:right w:val="none" w:sz="0" w:space="0" w:color="auto"/>
      </w:divBdr>
    </w:div>
    <w:div w:id="884217331">
      <w:bodyDiv w:val="1"/>
      <w:marLeft w:val="0"/>
      <w:marRight w:val="0"/>
      <w:marTop w:val="0"/>
      <w:marBottom w:val="0"/>
      <w:divBdr>
        <w:top w:val="none" w:sz="0" w:space="0" w:color="auto"/>
        <w:left w:val="none" w:sz="0" w:space="0" w:color="auto"/>
        <w:bottom w:val="none" w:sz="0" w:space="0" w:color="auto"/>
        <w:right w:val="none" w:sz="0" w:space="0" w:color="auto"/>
      </w:divBdr>
    </w:div>
    <w:div w:id="890649809">
      <w:bodyDiv w:val="1"/>
      <w:marLeft w:val="0"/>
      <w:marRight w:val="0"/>
      <w:marTop w:val="0"/>
      <w:marBottom w:val="0"/>
      <w:divBdr>
        <w:top w:val="none" w:sz="0" w:space="0" w:color="auto"/>
        <w:left w:val="none" w:sz="0" w:space="0" w:color="auto"/>
        <w:bottom w:val="none" w:sz="0" w:space="0" w:color="auto"/>
        <w:right w:val="none" w:sz="0" w:space="0" w:color="auto"/>
      </w:divBdr>
    </w:div>
    <w:div w:id="893468409">
      <w:bodyDiv w:val="1"/>
      <w:marLeft w:val="0"/>
      <w:marRight w:val="0"/>
      <w:marTop w:val="0"/>
      <w:marBottom w:val="0"/>
      <w:divBdr>
        <w:top w:val="none" w:sz="0" w:space="0" w:color="auto"/>
        <w:left w:val="none" w:sz="0" w:space="0" w:color="auto"/>
        <w:bottom w:val="none" w:sz="0" w:space="0" w:color="auto"/>
        <w:right w:val="none" w:sz="0" w:space="0" w:color="auto"/>
      </w:divBdr>
    </w:div>
    <w:div w:id="893590013">
      <w:bodyDiv w:val="1"/>
      <w:marLeft w:val="0"/>
      <w:marRight w:val="0"/>
      <w:marTop w:val="0"/>
      <w:marBottom w:val="0"/>
      <w:divBdr>
        <w:top w:val="none" w:sz="0" w:space="0" w:color="auto"/>
        <w:left w:val="none" w:sz="0" w:space="0" w:color="auto"/>
        <w:bottom w:val="none" w:sz="0" w:space="0" w:color="auto"/>
        <w:right w:val="none" w:sz="0" w:space="0" w:color="auto"/>
      </w:divBdr>
    </w:div>
    <w:div w:id="901602927">
      <w:bodyDiv w:val="1"/>
      <w:marLeft w:val="0"/>
      <w:marRight w:val="0"/>
      <w:marTop w:val="0"/>
      <w:marBottom w:val="0"/>
      <w:divBdr>
        <w:top w:val="none" w:sz="0" w:space="0" w:color="auto"/>
        <w:left w:val="none" w:sz="0" w:space="0" w:color="auto"/>
        <w:bottom w:val="none" w:sz="0" w:space="0" w:color="auto"/>
        <w:right w:val="none" w:sz="0" w:space="0" w:color="auto"/>
      </w:divBdr>
    </w:div>
    <w:div w:id="902373616">
      <w:bodyDiv w:val="1"/>
      <w:marLeft w:val="0"/>
      <w:marRight w:val="0"/>
      <w:marTop w:val="0"/>
      <w:marBottom w:val="0"/>
      <w:divBdr>
        <w:top w:val="none" w:sz="0" w:space="0" w:color="auto"/>
        <w:left w:val="none" w:sz="0" w:space="0" w:color="auto"/>
        <w:bottom w:val="none" w:sz="0" w:space="0" w:color="auto"/>
        <w:right w:val="none" w:sz="0" w:space="0" w:color="auto"/>
      </w:divBdr>
    </w:div>
    <w:div w:id="903570432">
      <w:bodyDiv w:val="1"/>
      <w:marLeft w:val="0"/>
      <w:marRight w:val="0"/>
      <w:marTop w:val="0"/>
      <w:marBottom w:val="0"/>
      <w:divBdr>
        <w:top w:val="none" w:sz="0" w:space="0" w:color="auto"/>
        <w:left w:val="none" w:sz="0" w:space="0" w:color="auto"/>
        <w:bottom w:val="none" w:sz="0" w:space="0" w:color="auto"/>
        <w:right w:val="none" w:sz="0" w:space="0" w:color="auto"/>
      </w:divBdr>
    </w:div>
    <w:div w:id="907223832">
      <w:bodyDiv w:val="1"/>
      <w:marLeft w:val="0"/>
      <w:marRight w:val="0"/>
      <w:marTop w:val="0"/>
      <w:marBottom w:val="0"/>
      <w:divBdr>
        <w:top w:val="none" w:sz="0" w:space="0" w:color="auto"/>
        <w:left w:val="none" w:sz="0" w:space="0" w:color="auto"/>
        <w:bottom w:val="none" w:sz="0" w:space="0" w:color="auto"/>
        <w:right w:val="none" w:sz="0" w:space="0" w:color="auto"/>
      </w:divBdr>
    </w:div>
    <w:div w:id="911426480">
      <w:bodyDiv w:val="1"/>
      <w:marLeft w:val="0"/>
      <w:marRight w:val="0"/>
      <w:marTop w:val="0"/>
      <w:marBottom w:val="0"/>
      <w:divBdr>
        <w:top w:val="none" w:sz="0" w:space="0" w:color="auto"/>
        <w:left w:val="none" w:sz="0" w:space="0" w:color="auto"/>
        <w:bottom w:val="none" w:sz="0" w:space="0" w:color="auto"/>
        <w:right w:val="none" w:sz="0" w:space="0" w:color="auto"/>
      </w:divBdr>
    </w:div>
    <w:div w:id="913200809">
      <w:bodyDiv w:val="1"/>
      <w:marLeft w:val="0"/>
      <w:marRight w:val="0"/>
      <w:marTop w:val="0"/>
      <w:marBottom w:val="0"/>
      <w:divBdr>
        <w:top w:val="none" w:sz="0" w:space="0" w:color="auto"/>
        <w:left w:val="none" w:sz="0" w:space="0" w:color="auto"/>
        <w:bottom w:val="none" w:sz="0" w:space="0" w:color="auto"/>
        <w:right w:val="none" w:sz="0" w:space="0" w:color="auto"/>
      </w:divBdr>
    </w:div>
    <w:div w:id="921912167">
      <w:bodyDiv w:val="1"/>
      <w:marLeft w:val="0"/>
      <w:marRight w:val="0"/>
      <w:marTop w:val="0"/>
      <w:marBottom w:val="0"/>
      <w:divBdr>
        <w:top w:val="none" w:sz="0" w:space="0" w:color="auto"/>
        <w:left w:val="none" w:sz="0" w:space="0" w:color="auto"/>
        <w:bottom w:val="none" w:sz="0" w:space="0" w:color="auto"/>
        <w:right w:val="none" w:sz="0" w:space="0" w:color="auto"/>
      </w:divBdr>
    </w:div>
    <w:div w:id="922881516">
      <w:bodyDiv w:val="1"/>
      <w:marLeft w:val="0"/>
      <w:marRight w:val="0"/>
      <w:marTop w:val="0"/>
      <w:marBottom w:val="0"/>
      <w:divBdr>
        <w:top w:val="none" w:sz="0" w:space="0" w:color="auto"/>
        <w:left w:val="none" w:sz="0" w:space="0" w:color="auto"/>
        <w:bottom w:val="none" w:sz="0" w:space="0" w:color="auto"/>
        <w:right w:val="none" w:sz="0" w:space="0" w:color="auto"/>
      </w:divBdr>
    </w:div>
    <w:div w:id="927158348">
      <w:bodyDiv w:val="1"/>
      <w:marLeft w:val="0"/>
      <w:marRight w:val="0"/>
      <w:marTop w:val="0"/>
      <w:marBottom w:val="0"/>
      <w:divBdr>
        <w:top w:val="none" w:sz="0" w:space="0" w:color="auto"/>
        <w:left w:val="none" w:sz="0" w:space="0" w:color="auto"/>
        <w:bottom w:val="none" w:sz="0" w:space="0" w:color="auto"/>
        <w:right w:val="none" w:sz="0" w:space="0" w:color="auto"/>
      </w:divBdr>
    </w:div>
    <w:div w:id="930551977">
      <w:bodyDiv w:val="1"/>
      <w:marLeft w:val="0"/>
      <w:marRight w:val="0"/>
      <w:marTop w:val="0"/>
      <w:marBottom w:val="0"/>
      <w:divBdr>
        <w:top w:val="none" w:sz="0" w:space="0" w:color="auto"/>
        <w:left w:val="none" w:sz="0" w:space="0" w:color="auto"/>
        <w:bottom w:val="none" w:sz="0" w:space="0" w:color="auto"/>
        <w:right w:val="none" w:sz="0" w:space="0" w:color="auto"/>
      </w:divBdr>
    </w:div>
    <w:div w:id="939071268">
      <w:bodyDiv w:val="1"/>
      <w:marLeft w:val="0"/>
      <w:marRight w:val="0"/>
      <w:marTop w:val="0"/>
      <w:marBottom w:val="0"/>
      <w:divBdr>
        <w:top w:val="none" w:sz="0" w:space="0" w:color="auto"/>
        <w:left w:val="none" w:sz="0" w:space="0" w:color="auto"/>
        <w:bottom w:val="none" w:sz="0" w:space="0" w:color="auto"/>
        <w:right w:val="none" w:sz="0" w:space="0" w:color="auto"/>
      </w:divBdr>
    </w:div>
    <w:div w:id="942037160">
      <w:bodyDiv w:val="1"/>
      <w:marLeft w:val="0"/>
      <w:marRight w:val="0"/>
      <w:marTop w:val="0"/>
      <w:marBottom w:val="0"/>
      <w:divBdr>
        <w:top w:val="none" w:sz="0" w:space="0" w:color="auto"/>
        <w:left w:val="none" w:sz="0" w:space="0" w:color="auto"/>
        <w:bottom w:val="none" w:sz="0" w:space="0" w:color="auto"/>
        <w:right w:val="none" w:sz="0" w:space="0" w:color="auto"/>
      </w:divBdr>
    </w:div>
    <w:div w:id="943146216">
      <w:bodyDiv w:val="1"/>
      <w:marLeft w:val="0"/>
      <w:marRight w:val="0"/>
      <w:marTop w:val="0"/>
      <w:marBottom w:val="0"/>
      <w:divBdr>
        <w:top w:val="none" w:sz="0" w:space="0" w:color="auto"/>
        <w:left w:val="none" w:sz="0" w:space="0" w:color="auto"/>
        <w:bottom w:val="none" w:sz="0" w:space="0" w:color="auto"/>
        <w:right w:val="none" w:sz="0" w:space="0" w:color="auto"/>
      </w:divBdr>
    </w:div>
    <w:div w:id="947354135">
      <w:bodyDiv w:val="1"/>
      <w:marLeft w:val="0"/>
      <w:marRight w:val="0"/>
      <w:marTop w:val="0"/>
      <w:marBottom w:val="0"/>
      <w:divBdr>
        <w:top w:val="none" w:sz="0" w:space="0" w:color="auto"/>
        <w:left w:val="none" w:sz="0" w:space="0" w:color="auto"/>
        <w:bottom w:val="none" w:sz="0" w:space="0" w:color="auto"/>
        <w:right w:val="none" w:sz="0" w:space="0" w:color="auto"/>
      </w:divBdr>
    </w:div>
    <w:div w:id="959267521">
      <w:bodyDiv w:val="1"/>
      <w:marLeft w:val="0"/>
      <w:marRight w:val="0"/>
      <w:marTop w:val="0"/>
      <w:marBottom w:val="0"/>
      <w:divBdr>
        <w:top w:val="none" w:sz="0" w:space="0" w:color="auto"/>
        <w:left w:val="none" w:sz="0" w:space="0" w:color="auto"/>
        <w:bottom w:val="none" w:sz="0" w:space="0" w:color="auto"/>
        <w:right w:val="none" w:sz="0" w:space="0" w:color="auto"/>
      </w:divBdr>
    </w:div>
    <w:div w:id="961808399">
      <w:bodyDiv w:val="1"/>
      <w:marLeft w:val="0"/>
      <w:marRight w:val="0"/>
      <w:marTop w:val="0"/>
      <w:marBottom w:val="0"/>
      <w:divBdr>
        <w:top w:val="none" w:sz="0" w:space="0" w:color="auto"/>
        <w:left w:val="none" w:sz="0" w:space="0" w:color="auto"/>
        <w:bottom w:val="none" w:sz="0" w:space="0" w:color="auto"/>
        <w:right w:val="none" w:sz="0" w:space="0" w:color="auto"/>
      </w:divBdr>
    </w:div>
    <w:div w:id="969018805">
      <w:bodyDiv w:val="1"/>
      <w:marLeft w:val="0"/>
      <w:marRight w:val="0"/>
      <w:marTop w:val="0"/>
      <w:marBottom w:val="0"/>
      <w:divBdr>
        <w:top w:val="none" w:sz="0" w:space="0" w:color="auto"/>
        <w:left w:val="none" w:sz="0" w:space="0" w:color="auto"/>
        <w:bottom w:val="none" w:sz="0" w:space="0" w:color="auto"/>
        <w:right w:val="none" w:sz="0" w:space="0" w:color="auto"/>
      </w:divBdr>
    </w:div>
    <w:div w:id="972828507">
      <w:bodyDiv w:val="1"/>
      <w:marLeft w:val="0"/>
      <w:marRight w:val="0"/>
      <w:marTop w:val="0"/>
      <w:marBottom w:val="0"/>
      <w:divBdr>
        <w:top w:val="none" w:sz="0" w:space="0" w:color="auto"/>
        <w:left w:val="none" w:sz="0" w:space="0" w:color="auto"/>
        <w:bottom w:val="none" w:sz="0" w:space="0" w:color="auto"/>
        <w:right w:val="none" w:sz="0" w:space="0" w:color="auto"/>
      </w:divBdr>
    </w:div>
    <w:div w:id="977035889">
      <w:bodyDiv w:val="1"/>
      <w:marLeft w:val="0"/>
      <w:marRight w:val="0"/>
      <w:marTop w:val="0"/>
      <w:marBottom w:val="0"/>
      <w:divBdr>
        <w:top w:val="none" w:sz="0" w:space="0" w:color="auto"/>
        <w:left w:val="none" w:sz="0" w:space="0" w:color="auto"/>
        <w:bottom w:val="none" w:sz="0" w:space="0" w:color="auto"/>
        <w:right w:val="none" w:sz="0" w:space="0" w:color="auto"/>
      </w:divBdr>
    </w:div>
    <w:div w:id="981808143">
      <w:bodyDiv w:val="1"/>
      <w:marLeft w:val="0"/>
      <w:marRight w:val="0"/>
      <w:marTop w:val="0"/>
      <w:marBottom w:val="0"/>
      <w:divBdr>
        <w:top w:val="none" w:sz="0" w:space="0" w:color="auto"/>
        <w:left w:val="none" w:sz="0" w:space="0" w:color="auto"/>
        <w:bottom w:val="none" w:sz="0" w:space="0" w:color="auto"/>
        <w:right w:val="none" w:sz="0" w:space="0" w:color="auto"/>
      </w:divBdr>
    </w:div>
    <w:div w:id="986779987">
      <w:bodyDiv w:val="1"/>
      <w:marLeft w:val="0"/>
      <w:marRight w:val="0"/>
      <w:marTop w:val="0"/>
      <w:marBottom w:val="0"/>
      <w:divBdr>
        <w:top w:val="none" w:sz="0" w:space="0" w:color="auto"/>
        <w:left w:val="none" w:sz="0" w:space="0" w:color="auto"/>
        <w:bottom w:val="none" w:sz="0" w:space="0" w:color="auto"/>
        <w:right w:val="none" w:sz="0" w:space="0" w:color="auto"/>
      </w:divBdr>
    </w:div>
    <w:div w:id="987712300">
      <w:bodyDiv w:val="1"/>
      <w:marLeft w:val="0"/>
      <w:marRight w:val="0"/>
      <w:marTop w:val="0"/>
      <w:marBottom w:val="0"/>
      <w:divBdr>
        <w:top w:val="none" w:sz="0" w:space="0" w:color="auto"/>
        <w:left w:val="none" w:sz="0" w:space="0" w:color="auto"/>
        <w:bottom w:val="none" w:sz="0" w:space="0" w:color="auto"/>
        <w:right w:val="none" w:sz="0" w:space="0" w:color="auto"/>
      </w:divBdr>
    </w:div>
    <w:div w:id="989208239">
      <w:bodyDiv w:val="1"/>
      <w:marLeft w:val="0"/>
      <w:marRight w:val="0"/>
      <w:marTop w:val="0"/>
      <w:marBottom w:val="0"/>
      <w:divBdr>
        <w:top w:val="none" w:sz="0" w:space="0" w:color="auto"/>
        <w:left w:val="none" w:sz="0" w:space="0" w:color="auto"/>
        <w:bottom w:val="none" w:sz="0" w:space="0" w:color="auto"/>
        <w:right w:val="none" w:sz="0" w:space="0" w:color="auto"/>
      </w:divBdr>
    </w:div>
    <w:div w:id="990715798">
      <w:bodyDiv w:val="1"/>
      <w:marLeft w:val="0"/>
      <w:marRight w:val="0"/>
      <w:marTop w:val="0"/>
      <w:marBottom w:val="0"/>
      <w:divBdr>
        <w:top w:val="none" w:sz="0" w:space="0" w:color="auto"/>
        <w:left w:val="none" w:sz="0" w:space="0" w:color="auto"/>
        <w:bottom w:val="none" w:sz="0" w:space="0" w:color="auto"/>
        <w:right w:val="none" w:sz="0" w:space="0" w:color="auto"/>
      </w:divBdr>
    </w:div>
    <w:div w:id="996959224">
      <w:bodyDiv w:val="1"/>
      <w:marLeft w:val="0"/>
      <w:marRight w:val="0"/>
      <w:marTop w:val="0"/>
      <w:marBottom w:val="0"/>
      <w:divBdr>
        <w:top w:val="none" w:sz="0" w:space="0" w:color="auto"/>
        <w:left w:val="none" w:sz="0" w:space="0" w:color="auto"/>
        <w:bottom w:val="none" w:sz="0" w:space="0" w:color="auto"/>
        <w:right w:val="none" w:sz="0" w:space="0" w:color="auto"/>
      </w:divBdr>
    </w:div>
    <w:div w:id="997461370">
      <w:bodyDiv w:val="1"/>
      <w:marLeft w:val="0"/>
      <w:marRight w:val="0"/>
      <w:marTop w:val="0"/>
      <w:marBottom w:val="0"/>
      <w:divBdr>
        <w:top w:val="none" w:sz="0" w:space="0" w:color="auto"/>
        <w:left w:val="none" w:sz="0" w:space="0" w:color="auto"/>
        <w:bottom w:val="none" w:sz="0" w:space="0" w:color="auto"/>
        <w:right w:val="none" w:sz="0" w:space="0" w:color="auto"/>
      </w:divBdr>
    </w:div>
    <w:div w:id="998534354">
      <w:bodyDiv w:val="1"/>
      <w:marLeft w:val="0"/>
      <w:marRight w:val="0"/>
      <w:marTop w:val="0"/>
      <w:marBottom w:val="0"/>
      <w:divBdr>
        <w:top w:val="none" w:sz="0" w:space="0" w:color="auto"/>
        <w:left w:val="none" w:sz="0" w:space="0" w:color="auto"/>
        <w:bottom w:val="none" w:sz="0" w:space="0" w:color="auto"/>
        <w:right w:val="none" w:sz="0" w:space="0" w:color="auto"/>
      </w:divBdr>
    </w:div>
    <w:div w:id="1000473268">
      <w:bodyDiv w:val="1"/>
      <w:marLeft w:val="0"/>
      <w:marRight w:val="0"/>
      <w:marTop w:val="0"/>
      <w:marBottom w:val="0"/>
      <w:divBdr>
        <w:top w:val="none" w:sz="0" w:space="0" w:color="auto"/>
        <w:left w:val="none" w:sz="0" w:space="0" w:color="auto"/>
        <w:bottom w:val="none" w:sz="0" w:space="0" w:color="auto"/>
        <w:right w:val="none" w:sz="0" w:space="0" w:color="auto"/>
      </w:divBdr>
    </w:div>
    <w:div w:id="1001198957">
      <w:bodyDiv w:val="1"/>
      <w:marLeft w:val="0"/>
      <w:marRight w:val="0"/>
      <w:marTop w:val="0"/>
      <w:marBottom w:val="0"/>
      <w:divBdr>
        <w:top w:val="none" w:sz="0" w:space="0" w:color="auto"/>
        <w:left w:val="none" w:sz="0" w:space="0" w:color="auto"/>
        <w:bottom w:val="none" w:sz="0" w:space="0" w:color="auto"/>
        <w:right w:val="none" w:sz="0" w:space="0" w:color="auto"/>
      </w:divBdr>
    </w:div>
    <w:div w:id="1001354717">
      <w:bodyDiv w:val="1"/>
      <w:marLeft w:val="0"/>
      <w:marRight w:val="0"/>
      <w:marTop w:val="0"/>
      <w:marBottom w:val="0"/>
      <w:divBdr>
        <w:top w:val="none" w:sz="0" w:space="0" w:color="auto"/>
        <w:left w:val="none" w:sz="0" w:space="0" w:color="auto"/>
        <w:bottom w:val="none" w:sz="0" w:space="0" w:color="auto"/>
        <w:right w:val="none" w:sz="0" w:space="0" w:color="auto"/>
      </w:divBdr>
    </w:div>
    <w:div w:id="1003781810">
      <w:bodyDiv w:val="1"/>
      <w:marLeft w:val="0"/>
      <w:marRight w:val="0"/>
      <w:marTop w:val="0"/>
      <w:marBottom w:val="0"/>
      <w:divBdr>
        <w:top w:val="none" w:sz="0" w:space="0" w:color="auto"/>
        <w:left w:val="none" w:sz="0" w:space="0" w:color="auto"/>
        <w:bottom w:val="none" w:sz="0" w:space="0" w:color="auto"/>
        <w:right w:val="none" w:sz="0" w:space="0" w:color="auto"/>
      </w:divBdr>
    </w:div>
    <w:div w:id="1003820310">
      <w:bodyDiv w:val="1"/>
      <w:marLeft w:val="0"/>
      <w:marRight w:val="0"/>
      <w:marTop w:val="0"/>
      <w:marBottom w:val="0"/>
      <w:divBdr>
        <w:top w:val="none" w:sz="0" w:space="0" w:color="auto"/>
        <w:left w:val="none" w:sz="0" w:space="0" w:color="auto"/>
        <w:bottom w:val="none" w:sz="0" w:space="0" w:color="auto"/>
        <w:right w:val="none" w:sz="0" w:space="0" w:color="auto"/>
      </w:divBdr>
    </w:div>
    <w:div w:id="1010642882">
      <w:bodyDiv w:val="1"/>
      <w:marLeft w:val="0"/>
      <w:marRight w:val="0"/>
      <w:marTop w:val="0"/>
      <w:marBottom w:val="0"/>
      <w:divBdr>
        <w:top w:val="none" w:sz="0" w:space="0" w:color="auto"/>
        <w:left w:val="none" w:sz="0" w:space="0" w:color="auto"/>
        <w:bottom w:val="none" w:sz="0" w:space="0" w:color="auto"/>
        <w:right w:val="none" w:sz="0" w:space="0" w:color="auto"/>
      </w:divBdr>
    </w:div>
    <w:div w:id="1010958710">
      <w:bodyDiv w:val="1"/>
      <w:marLeft w:val="0"/>
      <w:marRight w:val="0"/>
      <w:marTop w:val="0"/>
      <w:marBottom w:val="0"/>
      <w:divBdr>
        <w:top w:val="none" w:sz="0" w:space="0" w:color="auto"/>
        <w:left w:val="none" w:sz="0" w:space="0" w:color="auto"/>
        <w:bottom w:val="none" w:sz="0" w:space="0" w:color="auto"/>
        <w:right w:val="none" w:sz="0" w:space="0" w:color="auto"/>
      </w:divBdr>
    </w:div>
    <w:div w:id="1011108314">
      <w:bodyDiv w:val="1"/>
      <w:marLeft w:val="0"/>
      <w:marRight w:val="0"/>
      <w:marTop w:val="0"/>
      <w:marBottom w:val="0"/>
      <w:divBdr>
        <w:top w:val="none" w:sz="0" w:space="0" w:color="auto"/>
        <w:left w:val="none" w:sz="0" w:space="0" w:color="auto"/>
        <w:bottom w:val="none" w:sz="0" w:space="0" w:color="auto"/>
        <w:right w:val="none" w:sz="0" w:space="0" w:color="auto"/>
      </w:divBdr>
    </w:div>
    <w:div w:id="1014847562">
      <w:bodyDiv w:val="1"/>
      <w:marLeft w:val="0"/>
      <w:marRight w:val="0"/>
      <w:marTop w:val="0"/>
      <w:marBottom w:val="0"/>
      <w:divBdr>
        <w:top w:val="none" w:sz="0" w:space="0" w:color="auto"/>
        <w:left w:val="none" w:sz="0" w:space="0" w:color="auto"/>
        <w:bottom w:val="none" w:sz="0" w:space="0" w:color="auto"/>
        <w:right w:val="none" w:sz="0" w:space="0" w:color="auto"/>
      </w:divBdr>
    </w:div>
    <w:div w:id="1016231000">
      <w:bodyDiv w:val="1"/>
      <w:marLeft w:val="0"/>
      <w:marRight w:val="0"/>
      <w:marTop w:val="0"/>
      <w:marBottom w:val="0"/>
      <w:divBdr>
        <w:top w:val="none" w:sz="0" w:space="0" w:color="auto"/>
        <w:left w:val="none" w:sz="0" w:space="0" w:color="auto"/>
        <w:bottom w:val="none" w:sz="0" w:space="0" w:color="auto"/>
        <w:right w:val="none" w:sz="0" w:space="0" w:color="auto"/>
      </w:divBdr>
    </w:div>
    <w:div w:id="1017535244">
      <w:bodyDiv w:val="1"/>
      <w:marLeft w:val="0"/>
      <w:marRight w:val="0"/>
      <w:marTop w:val="0"/>
      <w:marBottom w:val="0"/>
      <w:divBdr>
        <w:top w:val="none" w:sz="0" w:space="0" w:color="auto"/>
        <w:left w:val="none" w:sz="0" w:space="0" w:color="auto"/>
        <w:bottom w:val="none" w:sz="0" w:space="0" w:color="auto"/>
        <w:right w:val="none" w:sz="0" w:space="0" w:color="auto"/>
      </w:divBdr>
    </w:div>
    <w:div w:id="1018311535">
      <w:bodyDiv w:val="1"/>
      <w:marLeft w:val="0"/>
      <w:marRight w:val="0"/>
      <w:marTop w:val="0"/>
      <w:marBottom w:val="0"/>
      <w:divBdr>
        <w:top w:val="none" w:sz="0" w:space="0" w:color="auto"/>
        <w:left w:val="none" w:sz="0" w:space="0" w:color="auto"/>
        <w:bottom w:val="none" w:sz="0" w:space="0" w:color="auto"/>
        <w:right w:val="none" w:sz="0" w:space="0" w:color="auto"/>
      </w:divBdr>
    </w:div>
    <w:div w:id="1026953600">
      <w:bodyDiv w:val="1"/>
      <w:marLeft w:val="0"/>
      <w:marRight w:val="0"/>
      <w:marTop w:val="0"/>
      <w:marBottom w:val="0"/>
      <w:divBdr>
        <w:top w:val="none" w:sz="0" w:space="0" w:color="auto"/>
        <w:left w:val="none" w:sz="0" w:space="0" w:color="auto"/>
        <w:bottom w:val="none" w:sz="0" w:space="0" w:color="auto"/>
        <w:right w:val="none" w:sz="0" w:space="0" w:color="auto"/>
      </w:divBdr>
    </w:div>
    <w:div w:id="1034962983">
      <w:bodyDiv w:val="1"/>
      <w:marLeft w:val="0"/>
      <w:marRight w:val="0"/>
      <w:marTop w:val="0"/>
      <w:marBottom w:val="0"/>
      <w:divBdr>
        <w:top w:val="none" w:sz="0" w:space="0" w:color="auto"/>
        <w:left w:val="none" w:sz="0" w:space="0" w:color="auto"/>
        <w:bottom w:val="none" w:sz="0" w:space="0" w:color="auto"/>
        <w:right w:val="none" w:sz="0" w:space="0" w:color="auto"/>
      </w:divBdr>
    </w:div>
    <w:div w:id="1041588553">
      <w:bodyDiv w:val="1"/>
      <w:marLeft w:val="0"/>
      <w:marRight w:val="0"/>
      <w:marTop w:val="0"/>
      <w:marBottom w:val="0"/>
      <w:divBdr>
        <w:top w:val="none" w:sz="0" w:space="0" w:color="auto"/>
        <w:left w:val="none" w:sz="0" w:space="0" w:color="auto"/>
        <w:bottom w:val="none" w:sz="0" w:space="0" w:color="auto"/>
        <w:right w:val="none" w:sz="0" w:space="0" w:color="auto"/>
      </w:divBdr>
    </w:div>
    <w:div w:id="1046641873">
      <w:bodyDiv w:val="1"/>
      <w:marLeft w:val="0"/>
      <w:marRight w:val="0"/>
      <w:marTop w:val="0"/>
      <w:marBottom w:val="0"/>
      <w:divBdr>
        <w:top w:val="none" w:sz="0" w:space="0" w:color="auto"/>
        <w:left w:val="none" w:sz="0" w:space="0" w:color="auto"/>
        <w:bottom w:val="none" w:sz="0" w:space="0" w:color="auto"/>
        <w:right w:val="none" w:sz="0" w:space="0" w:color="auto"/>
      </w:divBdr>
    </w:div>
    <w:div w:id="1051342833">
      <w:bodyDiv w:val="1"/>
      <w:marLeft w:val="0"/>
      <w:marRight w:val="0"/>
      <w:marTop w:val="0"/>
      <w:marBottom w:val="0"/>
      <w:divBdr>
        <w:top w:val="none" w:sz="0" w:space="0" w:color="auto"/>
        <w:left w:val="none" w:sz="0" w:space="0" w:color="auto"/>
        <w:bottom w:val="none" w:sz="0" w:space="0" w:color="auto"/>
        <w:right w:val="none" w:sz="0" w:space="0" w:color="auto"/>
      </w:divBdr>
    </w:div>
    <w:div w:id="1054281155">
      <w:bodyDiv w:val="1"/>
      <w:marLeft w:val="0"/>
      <w:marRight w:val="0"/>
      <w:marTop w:val="0"/>
      <w:marBottom w:val="0"/>
      <w:divBdr>
        <w:top w:val="none" w:sz="0" w:space="0" w:color="auto"/>
        <w:left w:val="none" w:sz="0" w:space="0" w:color="auto"/>
        <w:bottom w:val="none" w:sz="0" w:space="0" w:color="auto"/>
        <w:right w:val="none" w:sz="0" w:space="0" w:color="auto"/>
      </w:divBdr>
    </w:div>
    <w:div w:id="1058865554">
      <w:bodyDiv w:val="1"/>
      <w:marLeft w:val="0"/>
      <w:marRight w:val="0"/>
      <w:marTop w:val="0"/>
      <w:marBottom w:val="0"/>
      <w:divBdr>
        <w:top w:val="none" w:sz="0" w:space="0" w:color="auto"/>
        <w:left w:val="none" w:sz="0" w:space="0" w:color="auto"/>
        <w:bottom w:val="none" w:sz="0" w:space="0" w:color="auto"/>
        <w:right w:val="none" w:sz="0" w:space="0" w:color="auto"/>
      </w:divBdr>
    </w:div>
    <w:div w:id="1062677014">
      <w:bodyDiv w:val="1"/>
      <w:marLeft w:val="0"/>
      <w:marRight w:val="0"/>
      <w:marTop w:val="0"/>
      <w:marBottom w:val="0"/>
      <w:divBdr>
        <w:top w:val="none" w:sz="0" w:space="0" w:color="auto"/>
        <w:left w:val="none" w:sz="0" w:space="0" w:color="auto"/>
        <w:bottom w:val="none" w:sz="0" w:space="0" w:color="auto"/>
        <w:right w:val="none" w:sz="0" w:space="0" w:color="auto"/>
      </w:divBdr>
    </w:div>
    <w:div w:id="1063600905">
      <w:bodyDiv w:val="1"/>
      <w:marLeft w:val="0"/>
      <w:marRight w:val="0"/>
      <w:marTop w:val="0"/>
      <w:marBottom w:val="0"/>
      <w:divBdr>
        <w:top w:val="none" w:sz="0" w:space="0" w:color="auto"/>
        <w:left w:val="none" w:sz="0" w:space="0" w:color="auto"/>
        <w:bottom w:val="none" w:sz="0" w:space="0" w:color="auto"/>
        <w:right w:val="none" w:sz="0" w:space="0" w:color="auto"/>
      </w:divBdr>
    </w:div>
    <w:div w:id="1065109452">
      <w:bodyDiv w:val="1"/>
      <w:marLeft w:val="0"/>
      <w:marRight w:val="0"/>
      <w:marTop w:val="0"/>
      <w:marBottom w:val="0"/>
      <w:divBdr>
        <w:top w:val="none" w:sz="0" w:space="0" w:color="auto"/>
        <w:left w:val="none" w:sz="0" w:space="0" w:color="auto"/>
        <w:bottom w:val="none" w:sz="0" w:space="0" w:color="auto"/>
        <w:right w:val="none" w:sz="0" w:space="0" w:color="auto"/>
      </w:divBdr>
    </w:div>
    <w:div w:id="1065489398">
      <w:bodyDiv w:val="1"/>
      <w:marLeft w:val="0"/>
      <w:marRight w:val="0"/>
      <w:marTop w:val="0"/>
      <w:marBottom w:val="0"/>
      <w:divBdr>
        <w:top w:val="none" w:sz="0" w:space="0" w:color="auto"/>
        <w:left w:val="none" w:sz="0" w:space="0" w:color="auto"/>
        <w:bottom w:val="none" w:sz="0" w:space="0" w:color="auto"/>
        <w:right w:val="none" w:sz="0" w:space="0" w:color="auto"/>
      </w:divBdr>
    </w:div>
    <w:div w:id="1081870213">
      <w:bodyDiv w:val="1"/>
      <w:marLeft w:val="0"/>
      <w:marRight w:val="0"/>
      <w:marTop w:val="0"/>
      <w:marBottom w:val="0"/>
      <w:divBdr>
        <w:top w:val="none" w:sz="0" w:space="0" w:color="auto"/>
        <w:left w:val="none" w:sz="0" w:space="0" w:color="auto"/>
        <w:bottom w:val="none" w:sz="0" w:space="0" w:color="auto"/>
        <w:right w:val="none" w:sz="0" w:space="0" w:color="auto"/>
      </w:divBdr>
    </w:div>
    <w:div w:id="1083797793">
      <w:bodyDiv w:val="1"/>
      <w:marLeft w:val="0"/>
      <w:marRight w:val="0"/>
      <w:marTop w:val="0"/>
      <w:marBottom w:val="0"/>
      <w:divBdr>
        <w:top w:val="none" w:sz="0" w:space="0" w:color="auto"/>
        <w:left w:val="none" w:sz="0" w:space="0" w:color="auto"/>
        <w:bottom w:val="none" w:sz="0" w:space="0" w:color="auto"/>
        <w:right w:val="none" w:sz="0" w:space="0" w:color="auto"/>
      </w:divBdr>
    </w:div>
    <w:div w:id="1089741491">
      <w:bodyDiv w:val="1"/>
      <w:marLeft w:val="0"/>
      <w:marRight w:val="0"/>
      <w:marTop w:val="0"/>
      <w:marBottom w:val="0"/>
      <w:divBdr>
        <w:top w:val="none" w:sz="0" w:space="0" w:color="auto"/>
        <w:left w:val="none" w:sz="0" w:space="0" w:color="auto"/>
        <w:bottom w:val="none" w:sz="0" w:space="0" w:color="auto"/>
        <w:right w:val="none" w:sz="0" w:space="0" w:color="auto"/>
      </w:divBdr>
    </w:div>
    <w:div w:id="1090854865">
      <w:bodyDiv w:val="1"/>
      <w:marLeft w:val="0"/>
      <w:marRight w:val="0"/>
      <w:marTop w:val="0"/>
      <w:marBottom w:val="0"/>
      <w:divBdr>
        <w:top w:val="none" w:sz="0" w:space="0" w:color="auto"/>
        <w:left w:val="none" w:sz="0" w:space="0" w:color="auto"/>
        <w:bottom w:val="none" w:sz="0" w:space="0" w:color="auto"/>
        <w:right w:val="none" w:sz="0" w:space="0" w:color="auto"/>
      </w:divBdr>
    </w:div>
    <w:div w:id="1100292478">
      <w:bodyDiv w:val="1"/>
      <w:marLeft w:val="0"/>
      <w:marRight w:val="0"/>
      <w:marTop w:val="0"/>
      <w:marBottom w:val="0"/>
      <w:divBdr>
        <w:top w:val="none" w:sz="0" w:space="0" w:color="auto"/>
        <w:left w:val="none" w:sz="0" w:space="0" w:color="auto"/>
        <w:bottom w:val="none" w:sz="0" w:space="0" w:color="auto"/>
        <w:right w:val="none" w:sz="0" w:space="0" w:color="auto"/>
      </w:divBdr>
    </w:div>
    <w:div w:id="1102725648">
      <w:bodyDiv w:val="1"/>
      <w:marLeft w:val="0"/>
      <w:marRight w:val="0"/>
      <w:marTop w:val="0"/>
      <w:marBottom w:val="0"/>
      <w:divBdr>
        <w:top w:val="none" w:sz="0" w:space="0" w:color="auto"/>
        <w:left w:val="none" w:sz="0" w:space="0" w:color="auto"/>
        <w:bottom w:val="none" w:sz="0" w:space="0" w:color="auto"/>
        <w:right w:val="none" w:sz="0" w:space="0" w:color="auto"/>
      </w:divBdr>
    </w:div>
    <w:div w:id="1104807618">
      <w:bodyDiv w:val="1"/>
      <w:marLeft w:val="0"/>
      <w:marRight w:val="0"/>
      <w:marTop w:val="0"/>
      <w:marBottom w:val="0"/>
      <w:divBdr>
        <w:top w:val="none" w:sz="0" w:space="0" w:color="auto"/>
        <w:left w:val="none" w:sz="0" w:space="0" w:color="auto"/>
        <w:bottom w:val="none" w:sz="0" w:space="0" w:color="auto"/>
        <w:right w:val="none" w:sz="0" w:space="0" w:color="auto"/>
      </w:divBdr>
    </w:div>
    <w:div w:id="1106727716">
      <w:bodyDiv w:val="1"/>
      <w:marLeft w:val="0"/>
      <w:marRight w:val="0"/>
      <w:marTop w:val="0"/>
      <w:marBottom w:val="0"/>
      <w:divBdr>
        <w:top w:val="none" w:sz="0" w:space="0" w:color="auto"/>
        <w:left w:val="none" w:sz="0" w:space="0" w:color="auto"/>
        <w:bottom w:val="none" w:sz="0" w:space="0" w:color="auto"/>
        <w:right w:val="none" w:sz="0" w:space="0" w:color="auto"/>
      </w:divBdr>
    </w:div>
    <w:div w:id="1108279372">
      <w:bodyDiv w:val="1"/>
      <w:marLeft w:val="0"/>
      <w:marRight w:val="0"/>
      <w:marTop w:val="0"/>
      <w:marBottom w:val="0"/>
      <w:divBdr>
        <w:top w:val="none" w:sz="0" w:space="0" w:color="auto"/>
        <w:left w:val="none" w:sz="0" w:space="0" w:color="auto"/>
        <w:bottom w:val="none" w:sz="0" w:space="0" w:color="auto"/>
        <w:right w:val="none" w:sz="0" w:space="0" w:color="auto"/>
      </w:divBdr>
    </w:div>
    <w:div w:id="1113325699">
      <w:bodyDiv w:val="1"/>
      <w:marLeft w:val="0"/>
      <w:marRight w:val="0"/>
      <w:marTop w:val="0"/>
      <w:marBottom w:val="0"/>
      <w:divBdr>
        <w:top w:val="none" w:sz="0" w:space="0" w:color="auto"/>
        <w:left w:val="none" w:sz="0" w:space="0" w:color="auto"/>
        <w:bottom w:val="none" w:sz="0" w:space="0" w:color="auto"/>
        <w:right w:val="none" w:sz="0" w:space="0" w:color="auto"/>
      </w:divBdr>
    </w:div>
    <w:div w:id="1115713948">
      <w:bodyDiv w:val="1"/>
      <w:marLeft w:val="0"/>
      <w:marRight w:val="0"/>
      <w:marTop w:val="0"/>
      <w:marBottom w:val="0"/>
      <w:divBdr>
        <w:top w:val="none" w:sz="0" w:space="0" w:color="auto"/>
        <w:left w:val="none" w:sz="0" w:space="0" w:color="auto"/>
        <w:bottom w:val="none" w:sz="0" w:space="0" w:color="auto"/>
        <w:right w:val="none" w:sz="0" w:space="0" w:color="auto"/>
      </w:divBdr>
    </w:div>
    <w:div w:id="1118644433">
      <w:bodyDiv w:val="1"/>
      <w:marLeft w:val="0"/>
      <w:marRight w:val="0"/>
      <w:marTop w:val="0"/>
      <w:marBottom w:val="0"/>
      <w:divBdr>
        <w:top w:val="none" w:sz="0" w:space="0" w:color="auto"/>
        <w:left w:val="none" w:sz="0" w:space="0" w:color="auto"/>
        <w:bottom w:val="none" w:sz="0" w:space="0" w:color="auto"/>
        <w:right w:val="none" w:sz="0" w:space="0" w:color="auto"/>
      </w:divBdr>
    </w:div>
    <w:div w:id="1118719514">
      <w:bodyDiv w:val="1"/>
      <w:marLeft w:val="0"/>
      <w:marRight w:val="0"/>
      <w:marTop w:val="0"/>
      <w:marBottom w:val="0"/>
      <w:divBdr>
        <w:top w:val="none" w:sz="0" w:space="0" w:color="auto"/>
        <w:left w:val="none" w:sz="0" w:space="0" w:color="auto"/>
        <w:bottom w:val="none" w:sz="0" w:space="0" w:color="auto"/>
        <w:right w:val="none" w:sz="0" w:space="0" w:color="auto"/>
      </w:divBdr>
    </w:div>
    <w:div w:id="1119492380">
      <w:bodyDiv w:val="1"/>
      <w:marLeft w:val="0"/>
      <w:marRight w:val="0"/>
      <w:marTop w:val="0"/>
      <w:marBottom w:val="0"/>
      <w:divBdr>
        <w:top w:val="none" w:sz="0" w:space="0" w:color="auto"/>
        <w:left w:val="none" w:sz="0" w:space="0" w:color="auto"/>
        <w:bottom w:val="none" w:sz="0" w:space="0" w:color="auto"/>
        <w:right w:val="none" w:sz="0" w:space="0" w:color="auto"/>
      </w:divBdr>
    </w:div>
    <w:div w:id="1119840467">
      <w:bodyDiv w:val="1"/>
      <w:marLeft w:val="0"/>
      <w:marRight w:val="0"/>
      <w:marTop w:val="0"/>
      <w:marBottom w:val="0"/>
      <w:divBdr>
        <w:top w:val="none" w:sz="0" w:space="0" w:color="auto"/>
        <w:left w:val="none" w:sz="0" w:space="0" w:color="auto"/>
        <w:bottom w:val="none" w:sz="0" w:space="0" w:color="auto"/>
        <w:right w:val="none" w:sz="0" w:space="0" w:color="auto"/>
      </w:divBdr>
    </w:div>
    <w:div w:id="1126778712">
      <w:bodyDiv w:val="1"/>
      <w:marLeft w:val="0"/>
      <w:marRight w:val="0"/>
      <w:marTop w:val="0"/>
      <w:marBottom w:val="0"/>
      <w:divBdr>
        <w:top w:val="none" w:sz="0" w:space="0" w:color="auto"/>
        <w:left w:val="none" w:sz="0" w:space="0" w:color="auto"/>
        <w:bottom w:val="none" w:sz="0" w:space="0" w:color="auto"/>
        <w:right w:val="none" w:sz="0" w:space="0" w:color="auto"/>
      </w:divBdr>
    </w:div>
    <w:div w:id="1131242251">
      <w:bodyDiv w:val="1"/>
      <w:marLeft w:val="0"/>
      <w:marRight w:val="0"/>
      <w:marTop w:val="0"/>
      <w:marBottom w:val="0"/>
      <w:divBdr>
        <w:top w:val="none" w:sz="0" w:space="0" w:color="auto"/>
        <w:left w:val="none" w:sz="0" w:space="0" w:color="auto"/>
        <w:bottom w:val="none" w:sz="0" w:space="0" w:color="auto"/>
        <w:right w:val="none" w:sz="0" w:space="0" w:color="auto"/>
      </w:divBdr>
    </w:div>
    <w:div w:id="1134449189">
      <w:bodyDiv w:val="1"/>
      <w:marLeft w:val="0"/>
      <w:marRight w:val="0"/>
      <w:marTop w:val="0"/>
      <w:marBottom w:val="0"/>
      <w:divBdr>
        <w:top w:val="none" w:sz="0" w:space="0" w:color="auto"/>
        <w:left w:val="none" w:sz="0" w:space="0" w:color="auto"/>
        <w:bottom w:val="none" w:sz="0" w:space="0" w:color="auto"/>
        <w:right w:val="none" w:sz="0" w:space="0" w:color="auto"/>
      </w:divBdr>
    </w:div>
    <w:div w:id="1140154925">
      <w:bodyDiv w:val="1"/>
      <w:marLeft w:val="0"/>
      <w:marRight w:val="0"/>
      <w:marTop w:val="0"/>
      <w:marBottom w:val="0"/>
      <w:divBdr>
        <w:top w:val="none" w:sz="0" w:space="0" w:color="auto"/>
        <w:left w:val="none" w:sz="0" w:space="0" w:color="auto"/>
        <w:bottom w:val="none" w:sz="0" w:space="0" w:color="auto"/>
        <w:right w:val="none" w:sz="0" w:space="0" w:color="auto"/>
      </w:divBdr>
    </w:div>
    <w:div w:id="1145466491">
      <w:bodyDiv w:val="1"/>
      <w:marLeft w:val="0"/>
      <w:marRight w:val="0"/>
      <w:marTop w:val="0"/>
      <w:marBottom w:val="0"/>
      <w:divBdr>
        <w:top w:val="none" w:sz="0" w:space="0" w:color="auto"/>
        <w:left w:val="none" w:sz="0" w:space="0" w:color="auto"/>
        <w:bottom w:val="none" w:sz="0" w:space="0" w:color="auto"/>
        <w:right w:val="none" w:sz="0" w:space="0" w:color="auto"/>
      </w:divBdr>
    </w:div>
    <w:div w:id="1146245328">
      <w:bodyDiv w:val="1"/>
      <w:marLeft w:val="0"/>
      <w:marRight w:val="0"/>
      <w:marTop w:val="0"/>
      <w:marBottom w:val="0"/>
      <w:divBdr>
        <w:top w:val="none" w:sz="0" w:space="0" w:color="auto"/>
        <w:left w:val="none" w:sz="0" w:space="0" w:color="auto"/>
        <w:bottom w:val="none" w:sz="0" w:space="0" w:color="auto"/>
        <w:right w:val="none" w:sz="0" w:space="0" w:color="auto"/>
      </w:divBdr>
    </w:div>
    <w:div w:id="1148282658">
      <w:bodyDiv w:val="1"/>
      <w:marLeft w:val="0"/>
      <w:marRight w:val="0"/>
      <w:marTop w:val="0"/>
      <w:marBottom w:val="0"/>
      <w:divBdr>
        <w:top w:val="none" w:sz="0" w:space="0" w:color="auto"/>
        <w:left w:val="none" w:sz="0" w:space="0" w:color="auto"/>
        <w:bottom w:val="none" w:sz="0" w:space="0" w:color="auto"/>
        <w:right w:val="none" w:sz="0" w:space="0" w:color="auto"/>
      </w:divBdr>
    </w:div>
    <w:div w:id="1148518701">
      <w:bodyDiv w:val="1"/>
      <w:marLeft w:val="0"/>
      <w:marRight w:val="0"/>
      <w:marTop w:val="0"/>
      <w:marBottom w:val="0"/>
      <w:divBdr>
        <w:top w:val="none" w:sz="0" w:space="0" w:color="auto"/>
        <w:left w:val="none" w:sz="0" w:space="0" w:color="auto"/>
        <w:bottom w:val="none" w:sz="0" w:space="0" w:color="auto"/>
        <w:right w:val="none" w:sz="0" w:space="0" w:color="auto"/>
      </w:divBdr>
    </w:div>
    <w:div w:id="1155416020">
      <w:bodyDiv w:val="1"/>
      <w:marLeft w:val="0"/>
      <w:marRight w:val="0"/>
      <w:marTop w:val="0"/>
      <w:marBottom w:val="0"/>
      <w:divBdr>
        <w:top w:val="none" w:sz="0" w:space="0" w:color="auto"/>
        <w:left w:val="none" w:sz="0" w:space="0" w:color="auto"/>
        <w:bottom w:val="none" w:sz="0" w:space="0" w:color="auto"/>
        <w:right w:val="none" w:sz="0" w:space="0" w:color="auto"/>
      </w:divBdr>
    </w:div>
    <w:div w:id="1156917931">
      <w:bodyDiv w:val="1"/>
      <w:marLeft w:val="0"/>
      <w:marRight w:val="0"/>
      <w:marTop w:val="0"/>
      <w:marBottom w:val="0"/>
      <w:divBdr>
        <w:top w:val="none" w:sz="0" w:space="0" w:color="auto"/>
        <w:left w:val="none" w:sz="0" w:space="0" w:color="auto"/>
        <w:bottom w:val="none" w:sz="0" w:space="0" w:color="auto"/>
        <w:right w:val="none" w:sz="0" w:space="0" w:color="auto"/>
      </w:divBdr>
    </w:div>
    <w:div w:id="1162164460">
      <w:bodyDiv w:val="1"/>
      <w:marLeft w:val="0"/>
      <w:marRight w:val="0"/>
      <w:marTop w:val="0"/>
      <w:marBottom w:val="0"/>
      <w:divBdr>
        <w:top w:val="none" w:sz="0" w:space="0" w:color="auto"/>
        <w:left w:val="none" w:sz="0" w:space="0" w:color="auto"/>
        <w:bottom w:val="none" w:sz="0" w:space="0" w:color="auto"/>
        <w:right w:val="none" w:sz="0" w:space="0" w:color="auto"/>
      </w:divBdr>
    </w:div>
    <w:div w:id="1163545849">
      <w:bodyDiv w:val="1"/>
      <w:marLeft w:val="0"/>
      <w:marRight w:val="0"/>
      <w:marTop w:val="0"/>
      <w:marBottom w:val="0"/>
      <w:divBdr>
        <w:top w:val="none" w:sz="0" w:space="0" w:color="auto"/>
        <w:left w:val="none" w:sz="0" w:space="0" w:color="auto"/>
        <w:bottom w:val="none" w:sz="0" w:space="0" w:color="auto"/>
        <w:right w:val="none" w:sz="0" w:space="0" w:color="auto"/>
      </w:divBdr>
    </w:div>
    <w:div w:id="1171411871">
      <w:bodyDiv w:val="1"/>
      <w:marLeft w:val="0"/>
      <w:marRight w:val="0"/>
      <w:marTop w:val="0"/>
      <w:marBottom w:val="0"/>
      <w:divBdr>
        <w:top w:val="none" w:sz="0" w:space="0" w:color="auto"/>
        <w:left w:val="none" w:sz="0" w:space="0" w:color="auto"/>
        <w:bottom w:val="none" w:sz="0" w:space="0" w:color="auto"/>
        <w:right w:val="none" w:sz="0" w:space="0" w:color="auto"/>
      </w:divBdr>
    </w:div>
    <w:div w:id="1172262861">
      <w:bodyDiv w:val="1"/>
      <w:marLeft w:val="0"/>
      <w:marRight w:val="0"/>
      <w:marTop w:val="0"/>
      <w:marBottom w:val="0"/>
      <w:divBdr>
        <w:top w:val="none" w:sz="0" w:space="0" w:color="auto"/>
        <w:left w:val="none" w:sz="0" w:space="0" w:color="auto"/>
        <w:bottom w:val="none" w:sz="0" w:space="0" w:color="auto"/>
        <w:right w:val="none" w:sz="0" w:space="0" w:color="auto"/>
      </w:divBdr>
    </w:div>
    <w:div w:id="1175417579">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
    <w:div w:id="1177234444">
      <w:bodyDiv w:val="1"/>
      <w:marLeft w:val="0"/>
      <w:marRight w:val="0"/>
      <w:marTop w:val="0"/>
      <w:marBottom w:val="0"/>
      <w:divBdr>
        <w:top w:val="none" w:sz="0" w:space="0" w:color="auto"/>
        <w:left w:val="none" w:sz="0" w:space="0" w:color="auto"/>
        <w:bottom w:val="none" w:sz="0" w:space="0" w:color="auto"/>
        <w:right w:val="none" w:sz="0" w:space="0" w:color="auto"/>
      </w:divBdr>
    </w:div>
    <w:div w:id="1177770546">
      <w:bodyDiv w:val="1"/>
      <w:marLeft w:val="0"/>
      <w:marRight w:val="0"/>
      <w:marTop w:val="0"/>
      <w:marBottom w:val="0"/>
      <w:divBdr>
        <w:top w:val="none" w:sz="0" w:space="0" w:color="auto"/>
        <w:left w:val="none" w:sz="0" w:space="0" w:color="auto"/>
        <w:bottom w:val="none" w:sz="0" w:space="0" w:color="auto"/>
        <w:right w:val="none" w:sz="0" w:space="0" w:color="auto"/>
      </w:divBdr>
    </w:div>
    <w:div w:id="1182932097">
      <w:bodyDiv w:val="1"/>
      <w:marLeft w:val="0"/>
      <w:marRight w:val="0"/>
      <w:marTop w:val="0"/>
      <w:marBottom w:val="0"/>
      <w:divBdr>
        <w:top w:val="none" w:sz="0" w:space="0" w:color="auto"/>
        <w:left w:val="none" w:sz="0" w:space="0" w:color="auto"/>
        <w:bottom w:val="none" w:sz="0" w:space="0" w:color="auto"/>
        <w:right w:val="none" w:sz="0" w:space="0" w:color="auto"/>
      </w:divBdr>
    </w:div>
    <w:div w:id="1193960316">
      <w:bodyDiv w:val="1"/>
      <w:marLeft w:val="0"/>
      <w:marRight w:val="0"/>
      <w:marTop w:val="0"/>
      <w:marBottom w:val="0"/>
      <w:divBdr>
        <w:top w:val="none" w:sz="0" w:space="0" w:color="auto"/>
        <w:left w:val="none" w:sz="0" w:space="0" w:color="auto"/>
        <w:bottom w:val="none" w:sz="0" w:space="0" w:color="auto"/>
        <w:right w:val="none" w:sz="0" w:space="0" w:color="auto"/>
      </w:divBdr>
    </w:div>
    <w:div w:id="1212766452">
      <w:bodyDiv w:val="1"/>
      <w:marLeft w:val="0"/>
      <w:marRight w:val="0"/>
      <w:marTop w:val="0"/>
      <w:marBottom w:val="0"/>
      <w:divBdr>
        <w:top w:val="none" w:sz="0" w:space="0" w:color="auto"/>
        <w:left w:val="none" w:sz="0" w:space="0" w:color="auto"/>
        <w:bottom w:val="none" w:sz="0" w:space="0" w:color="auto"/>
        <w:right w:val="none" w:sz="0" w:space="0" w:color="auto"/>
      </w:divBdr>
    </w:div>
    <w:div w:id="1213424994">
      <w:bodyDiv w:val="1"/>
      <w:marLeft w:val="0"/>
      <w:marRight w:val="0"/>
      <w:marTop w:val="0"/>
      <w:marBottom w:val="0"/>
      <w:divBdr>
        <w:top w:val="none" w:sz="0" w:space="0" w:color="auto"/>
        <w:left w:val="none" w:sz="0" w:space="0" w:color="auto"/>
        <w:bottom w:val="none" w:sz="0" w:space="0" w:color="auto"/>
        <w:right w:val="none" w:sz="0" w:space="0" w:color="auto"/>
      </w:divBdr>
    </w:div>
    <w:div w:id="1215778842">
      <w:bodyDiv w:val="1"/>
      <w:marLeft w:val="0"/>
      <w:marRight w:val="0"/>
      <w:marTop w:val="0"/>
      <w:marBottom w:val="0"/>
      <w:divBdr>
        <w:top w:val="none" w:sz="0" w:space="0" w:color="auto"/>
        <w:left w:val="none" w:sz="0" w:space="0" w:color="auto"/>
        <w:bottom w:val="none" w:sz="0" w:space="0" w:color="auto"/>
        <w:right w:val="none" w:sz="0" w:space="0" w:color="auto"/>
      </w:divBdr>
    </w:div>
    <w:div w:id="1233546344">
      <w:bodyDiv w:val="1"/>
      <w:marLeft w:val="0"/>
      <w:marRight w:val="0"/>
      <w:marTop w:val="0"/>
      <w:marBottom w:val="0"/>
      <w:divBdr>
        <w:top w:val="none" w:sz="0" w:space="0" w:color="auto"/>
        <w:left w:val="none" w:sz="0" w:space="0" w:color="auto"/>
        <w:bottom w:val="none" w:sz="0" w:space="0" w:color="auto"/>
        <w:right w:val="none" w:sz="0" w:space="0" w:color="auto"/>
      </w:divBdr>
    </w:div>
    <w:div w:id="1234972340">
      <w:bodyDiv w:val="1"/>
      <w:marLeft w:val="0"/>
      <w:marRight w:val="0"/>
      <w:marTop w:val="0"/>
      <w:marBottom w:val="0"/>
      <w:divBdr>
        <w:top w:val="none" w:sz="0" w:space="0" w:color="auto"/>
        <w:left w:val="none" w:sz="0" w:space="0" w:color="auto"/>
        <w:bottom w:val="none" w:sz="0" w:space="0" w:color="auto"/>
        <w:right w:val="none" w:sz="0" w:space="0" w:color="auto"/>
      </w:divBdr>
    </w:div>
    <w:div w:id="1243880810">
      <w:bodyDiv w:val="1"/>
      <w:marLeft w:val="0"/>
      <w:marRight w:val="0"/>
      <w:marTop w:val="0"/>
      <w:marBottom w:val="0"/>
      <w:divBdr>
        <w:top w:val="none" w:sz="0" w:space="0" w:color="auto"/>
        <w:left w:val="none" w:sz="0" w:space="0" w:color="auto"/>
        <w:bottom w:val="none" w:sz="0" w:space="0" w:color="auto"/>
        <w:right w:val="none" w:sz="0" w:space="0" w:color="auto"/>
      </w:divBdr>
    </w:div>
    <w:div w:id="1247108010">
      <w:bodyDiv w:val="1"/>
      <w:marLeft w:val="0"/>
      <w:marRight w:val="0"/>
      <w:marTop w:val="0"/>
      <w:marBottom w:val="0"/>
      <w:divBdr>
        <w:top w:val="none" w:sz="0" w:space="0" w:color="auto"/>
        <w:left w:val="none" w:sz="0" w:space="0" w:color="auto"/>
        <w:bottom w:val="none" w:sz="0" w:space="0" w:color="auto"/>
        <w:right w:val="none" w:sz="0" w:space="0" w:color="auto"/>
      </w:divBdr>
    </w:div>
    <w:div w:id="1256090172">
      <w:bodyDiv w:val="1"/>
      <w:marLeft w:val="0"/>
      <w:marRight w:val="0"/>
      <w:marTop w:val="0"/>
      <w:marBottom w:val="0"/>
      <w:divBdr>
        <w:top w:val="none" w:sz="0" w:space="0" w:color="auto"/>
        <w:left w:val="none" w:sz="0" w:space="0" w:color="auto"/>
        <w:bottom w:val="none" w:sz="0" w:space="0" w:color="auto"/>
        <w:right w:val="none" w:sz="0" w:space="0" w:color="auto"/>
      </w:divBdr>
    </w:div>
    <w:div w:id="1258909738">
      <w:bodyDiv w:val="1"/>
      <w:marLeft w:val="0"/>
      <w:marRight w:val="0"/>
      <w:marTop w:val="0"/>
      <w:marBottom w:val="0"/>
      <w:divBdr>
        <w:top w:val="none" w:sz="0" w:space="0" w:color="auto"/>
        <w:left w:val="none" w:sz="0" w:space="0" w:color="auto"/>
        <w:bottom w:val="none" w:sz="0" w:space="0" w:color="auto"/>
        <w:right w:val="none" w:sz="0" w:space="0" w:color="auto"/>
      </w:divBdr>
    </w:div>
    <w:div w:id="1259099858">
      <w:bodyDiv w:val="1"/>
      <w:marLeft w:val="0"/>
      <w:marRight w:val="0"/>
      <w:marTop w:val="0"/>
      <w:marBottom w:val="0"/>
      <w:divBdr>
        <w:top w:val="none" w:sz="0" w:space="0" w:color="auto"/>
        <w:left w:val="none" w:sz="0" w:space="0" w:color="auto"/>
        <w:bottom w:val="none" w:sz="0" w:space="0" w:color="auto"/>
        <w:right w:val="none" w:sz="0" w:space="0" w:color="auto"/>
      </w:divBdr>
    </w:div>
    <w:div w:id="1269848302">
      <w:bodyDiv w:val="1"/>
      <w:marLeft w:val="0"/>
      <w:marRight w:val="0"/>
      <w:marTop w:val="0"/>
      <w:marBottom w:val="0"/>
      <w:divBdr>
        <w:top w:val="none" w:sz="0" w:space="0" w:color="auto"/>
        <w:left w:val="none" w:sz="0" w:space="0" w:color="auto"/>
        <w:bottom w:val="none" w:sz="0" w:space="0" w:color="auto"/>
        <w:right w:val="none" w:sz="0" w:space="0" w:color="auto"/>
      </w:divBdr>
    </w:div>
    <w:div w:id="1275096943">
      <w:bodyDiv w:val="1"/>
      <w:marLeft w:val="0"/>
      <w:marRight w:val="0"/>
      <w:marTop w:val="0"/>
      <w:marBottom w:val="0"/>
      <w:divBdr>
        <w:top w:val="none" w:sz="0" w:space="0" w:color="auto"/>
        <w:left w:val="none" w:sz="0" w:space="0" w:color="auto"/>
        <w:bottom w:val="none" w:sz="0" w:space="0" w:color="auto"/>
        <w:right w:val="none" w:sz="0" w:space="0" w:color="auto"/>
      </w:divBdr>
    </w:div>
    <w:div w:id="1275598488">
      <w:bodyDiv w:val="1"/>
      <w:marLeft w:val="0"/>
      <w:marRight w:val="0"/>
      <w:marTop w:val="0"/>
      <w:marBottom w:val="0"/>
      <w:divBdr>
        <w:top w:val="none" w:sz="0" w:space="0" w:color="auto"/>
        <w:left w:val="none" w:sz="0" w:space="0" w:color="auto"/>
        <w:bottom w:val="none" w:sz="0" w:space="0" w:color="auto"/>
        <w:right w:val="none" w:sz="0" w:space="0" w:color="auto"/>
      </w:divBdr>
    </w:div>
    <w:div w:id="1276325008">
      <w:bodyDiv w:val="1"/>
      <w:marLeft w:val="0"/>
      <w:marRight w:val="0"/>
      <w:marTop w:val="0"/>
      <w:marBottom w:val="0"/>
      <w:divBdr>
        <w:top w:val="none" w:sz="0" w:space="0" w:color="auto"/>
        <w:left w:val="none" w:sz="0" w:space="0" w:color="auto"/>
        <w:bottom w:val="none" w:sz="0" w:space="0" w:color="auto"/>
        <w:right w:val="none" w:sz="0" w:space="0" w:color="auto"/>
      </w:divBdr>
    </w:div>
    <w:div w:id="1281720085">
      <w:bodyDiv w:val="1"/>
      <w:marLeft w:val="0"/>
      <w:marRight w:val="0"/>
      <w:marTop w:val="0"/>
      <w:marBottom w:val="0"/>
      <w:divBdr>
        <w:top w:val="none" w:sz="0" w:space="0" w:color="auto"/>
        <w:left w:val="none" w:sz="0" w:space="0" w:color="auto"/>
        <w:bottom w:val="none" w:sz="0" w:space="0" w:color="auto"/>
        <w:right w:val="none" w:sz="0" w:space="0" w:color="auto"/>
      </w:divBdr>
    </w:div>
    <w:div w:id="1282224898">
      <w:bodyDiv w:val="1"/>
      <w:marLeft w:val="0"/>
      <w:marRight w:val="0"/>
      <w:marTop w:val="0"/>
      <w:marBottom w:val="0"/>
      <w:divBdr>
        <w:top w:val="none" w:sz="0" w:space="0" w:color="auto"/>
        <w:left w:val="none" w:sz="0" w:space="0" w:color="auto"/>
        <w:bottom w:val="none" w:sz="0" w:space="0" w:color="auto"/>
        <w:right w:val="none" w:sz="0" w:space="0" w:color="auto"/>
      </w:divBdr>
    </w:div>
    <w:div w:id="1284382551">
      <w:bodyDiv w:val="1"/>
      <w:marLeft w:val="0"/>
      <w:marRight w:val="0"/>
      <w:marTop w:val="0"/>
      <w:marBottom w:val="0"/>
      <w:divBdr>
        <w:top w:val="none" w:sz="0" w:space="0" w:color="auto"/>
        <w:left w:val="none" w:sz="0" w:space="0" w:color="auto"/>
        <w:bottom w:val="none" w:sz="0" w:space="0" w:color="auto"/>
        <w:right w:val="none" w:sz="0" w:space="0" w:color="auto"/>
      </w:divBdr>
    </w:div>
    <w:div w:id="1287930015">
      <w:bodyDiv w:val="1"/>
      <w:marLeft w:val="0"/>
      <w:marRight w:val="0"/>
      <w:marTop w:val="0"/>
      <w:marBottom w:val="0"/>
      <w:divBdr>
        <w:top w:val="none" w:sz="0" w:space="0" w:color="auto"/>
        <w:left w:val="none" w:sz="0" w:space="0" w:color="auto"/>
        <w:bottom w:val="none" w:sz="0" w:space="0" w:color="auto"/>
        <w:right w:val="none" w:sz="0" w:space="0" w:color="auto"/>
      </w:divBdr>
    </w:div>
    <w:div w:id="1288198613">
      <w:bodyDiv w:val="1"/>
      <w:marLeft w:val="0"/>
      <w:marRight w:val="0"/>
      <w:marTop w:val="0"/>
      <w:marBottom w:val="0"/>
      <w:divBdr>
        <w:top w:val="none" w:sz="0" w:space="0" w:color="auto"/>
        <w:left w:val="none" w:sz="0" w:space="0" w:color="auto"/>
        <w:bottom w:val="none" w:sz="0" w:space="0" w:color="auto"/>
        <w:right w:val="none" w:sz="0" w:space="0" w:color="auto"/>
      </w:divBdr>
    </w:div>
    <w:div w:id="1297489453">
      <w:bodyDiv w:val="1"/>
      <w:marLeft w:val="0"/>
      <w:marRight w:val="0"/>
      <w:marTop w:val="0"/>
      <w:marBottom w:val="0"/>
      <w:divBdr>
        <w:top w:val="none" w:sz="0" w:space="0" w:color="auto"/>
        <w:left w:val="none" w:sz="0" w:space="0" w:color="auto"/>
        <w:bottom w:val="none" w:sz="0" w:space="0" w:color="auto"/>
        <w:right w:val="none" w:sz="0" w:space="0" w:color="auto"/>
      </w:divBdr>
    </w:div>
    <w:div w:id="1297831643">
      <w:bodyDiv w:val="1"/>
      <w:marLeft w:val="0"/>
      <w:marRight w:val="0"/>
      <w:marTop w:val="0"/>
      <w:marBottom w:val="0"/>
      <w:divBdr>
        <w:top w:val="none" w:sz="0" w:space="0" w:color="auto"/>
        <w:left w:val="none" w:sz="0" w:space="0" w:color="auto"/>
        <w:bottom w:val="none" w:sz="0" w:space="0" w:color="auto"/>
        <w:right w:val="none" w:sz="0" w:space="0" w:color="auto"/>
      </w:divBdr>
    </w:div>
    <w:div w:id="1297956944">
      <w:bodyDiv w:val="1"/>
      <w:marLeft w:val="0"/>
      <w:marRight w:val="0"/>
      <w:marTop w:val="0"/>
      <w:marBottom w:val="0"/>
      <w:divBdr>
        <w:top w:val="none" w:sz="0" w:space="0" w:color="auto"/>
        <w:left w:val="none" w:sz="0" w:space="0" w:color="auto"/>
        <w:bottom w:val="none" w:sz="0" w:space="0" w:color="auto"/>
        <w:right w:val="none" w:sz="0" w:space="0" w:color="auto"/>
      </w:divBdr>
    </w:div>
    <w:div w:id="1298414418">
      <w:bodyDiv w:val="1"/>
      <w:marLeft w:val="0"/>
      <w:marRight w:val="0"/>
      <w:marTop w:val="0"/>
      <w:marBottom w:val="0"/>
      <w:divBdr>
        <w:top w:val="none" w:sz="0" w:space="0" w:color="auto"/>
        <w:left w:val="none" w:sz="0" w:space="0" w:color="auto"/>
        <w:bottom w:val="none" w:sz="0" w:space="0" w:color="auto"/>
        <w:right w:val="none" w:sz="0" w:space="0" w:color="auto"/>
      </w:divBdr>
    </w:div>
    <w:div w:id="1308634584">
      <w:bodyDiv w:val="1"/>
      <w:marLeft w:val="0"/>
      <w:marRight w:val="0"/>
      <w:marTop w:val="0"/>
      <w:marBottom w:val="0"/>
      <w:divBdr>
        <w:top w:val="none" w:sz="0" w:space="0" w:color="auto"/>
        <w:left w:val="none" w:sz="0" w:space="0" w:color="auto"/>
        <w:bottom w:val="none" w:sz="0" w:space="0" w:color="auto"/>
        <w:right w:val="none" w:sz="0" w:space="0" w:color="auto"/>
      </w:divBdr>
    </w:div>
    <w:div w:id="1312714334">
      <w:bodyDiv w:val="1"/>
      <w:marLeft w:val="0"/>
      <w:marRight w:val="0"/>
      <w:marTop w:val="0"/>
      <w:marBottom w:val="0"/>
      <w:divBdr>
        <w:top w:val="none" w:sz="0" w:space="0" w:color="auto"/>
        <w:left w:val="none" w:sz="0" w:space="0" w:color="auto"/>
        <w:bottom w:val="none" w:sz="0" w:space="0" w:color="auto"/>
        <w:right w:val="none" w:sz="0" w:space="0" w:color="auto"/>
      </w:divBdr>
    </w:div>
    <w:div w:id="1316491203">
      <w:bodyDiv w:val="1"/>
      <w:marLeft w:val="0"/>
      <w:marRight w:val="0"/>
      <w:marTop w:val="0"/>
      <w:marBottom w:val="0"/>
      <w:divBdr>
        <w:top w:val="none" w:sz="0" w:space="0" w:color="auto"/>
        <w:left w:val="none" w:sz="0" w:space="0" w:color="auto"/>
        <w:bottom w:val="none" w:sz="0" w:space="0" w:color="auto"/>
        <w:right w:val="none" w:sz="0" w:space="0" w:color="auto"/>
      </w:divBdr>
    </w:div>
    <w:div w:id="1316572720">
      <w:bodyDiv w:val="1"/>
      <w:marLeft w:val="0"/>
      <w:marRight w:val="0"/>
      <w:marTop w:val="0"/>
      <w:marBottom w:val="0"/>
      <w:divBdr>
        <w:top w:val="none" w:sz="0" w:space="0" w:color="auto"/>
        <w:left w:val="none" w:sz="0" w:space="0" w:color="auto"/>
        <w:bottom w:val="none" w:sz="0" w:space="0" w:color="auto"/>
        <w:right w:val="none" w:sz="0" w:space="0" w:color="auto"/>
      </w:divBdr>
    </w:div>
    <w:div w:id="1319269345">
      <w:bodyDiv w:val="1"/>
      <w:marLeft w:val="0"/>
      <w:marRight w:val="0"/>
      <w:marTop w:val="0"/>
      <w:marBottom w:val="0"/>
      <w:divBdr>
        <w:top w:val="none" w:sz="0" w:space="0" w:color="auto"/>
        <w:left w:val="none" w:sz="0" w:space="0" w:color="auto"/>
        <w:bottom w:val="none" w:sz="0" w:space="0" w:color="auto"/>
        <w:right w:val="none" w:sz="0" w:space="0" w:color="auto"/>
      </w:divBdr>
    </w:div>
    <w:div w:id="1322587815">
      <w:bodyDiv w:val="1"/>
      <w:marLeft w:val="0"/>
      <w:marRight w:val="0"/>
      <w:marTop w:val="0"/>
      <w:marBottom w:val="0"/>
      <w:divBdr>
        <w:top w:val="none" w:sz="0" w:space="0" w:color="auto"/>
        <w:left w:val="none" w:sz="0" w:space="0" w:color="auto"/>
        <w:bottom w:val="none" w:sz="0" w:space="0" w:color="auto"/>
        <w:right w:val="none" w:sz="0" w:space="0" w:color="auto"/>
      </w:divBdr>
    </w:div>
    <w:div w:id="1322924381">
      <w:bodyDiv w:val="1"/>
      <w:marLeft w:val="0"/>
      <w:marRight w:val="0"/>
      <w:marTop w:val="0"/>
      <w:marBottom w:val="0"/>
      <w:divBdr>
        <w:top w:val="none" w:sz="0" w:space="0" w:color="auto"/>
        <w:left w:val="none" w:sz="0" w:space="0" w:color="auto"/>
        <w:bottom w:val="none" w:sz="0" w:space="0" w:color="auto"/>
        <w:right w:val="none" w:sz="0" w:space="0" w:color="auto"/>
      </w:divBdr>
    </w:div>
    <w:div w:id="1335840656">
      <w:bodyDiv w:val="1"/>
      <w:marLeft w:val="0"/>
      <w:marRight w:val="0"/>
      <w:marTop w:val="0"/>
      <w:marBottom w:val="0"/>
      <w:divBdr>
        <w:top w:val="none" w:sz="0" w:space="0" w:color="auto"/>
        <w:left w:val="none" w:sz="0" w:space="0" w:color="auto"/>
        <w:bottom w:val="none" w:sz="0" w:space="0" w:color="auto"/>
        <w:right w:val="none" w:sz="0" w:space="0" w:color="auto"/>
      </w:divBdr>
    </w:div>
    <w:div w:id="1337880043">
      <w:bodyDiv w:val="1"/>
      <w:marLeft w:val="0"/>
      <w:marRight w:val="0"/>
      <w:marTop w:val="0"/>
      <w:marBottom w:val="0"/>
      <w:divBdr>
        <w:top w:val="none" w:sz="0" w:space="0" w:color="auto"/>
        <w:left w:val="none" w:sz="0" w:space="0" w:color="auto"/>
        <w:bottom w:val="none" w:sz="0" w:space="0" w:color="auto"/>
        <w:right w:val="none" w:sz="0" w:space="0" w:color="auto"/>
      </w:divBdr>
    </w:div>
    <w:div w:id="1338001464">
      <w:bodyDiv w:val="1"/>
      <w:marLeft w:val="0"/>
      <w:marRight w:val="0"/>
      <w:marTop w:val="0"/>
      <w:marBottom w:val="0"/>
      <w:divBdr>
        <w:top w:val="none" w:sz="0" w:space="0" w:color="auto"/>
        <w:left w:val="none" w:sz="0" w:space="0" w:color="auto"/>
        <w:bottom w:val="none" w:sz="0" w:space="0" w:color="auto"/>
        <w:right w:val="none" w:sz="0" w:space="0" w:color="auto"/>
      </w:divBdr>
    </w:div>
    <w:div w:id="1342387752">
      <w:bodyDiv w:val="1"/>
      <w:marLeft w:val="0"/>
      <w:marRight w:val="0"/>
      <w:marTop w:val="0"/>
      <w:marBottom w:val="0"/>
      <w:divBdr>
        <w:top w:val="none" w:sz="0" w:space="0" w:color="auto"/>
        <w:left w:val="none" w:sz="0" w:space="0" w:color="auto"/>
        <w:bottom w:val="none" w:sz="0" w:space="0" w:color="auto"/>
        <w:right w:val="none" w:sz="0" w:space="0" w:color="auto"/>
      </w:divBdr>
    </w:div>
    <w:div w:id="1344623176">
      <w:bodyDiv w:val="1"/>
      <w:marLeft w:val="0"/>
      <w:marRight w:val="0"/>
      <w:marTop w:val="0"/>
      <w:marBottom w:val="0"/>
      <w:divBdr>
        <w:top w:val="none" w:sz="0" w:space="0" w:color="auto"/>
        <w:left w:val="none" w:sz="0" w:space="0" w:color="auto"/>
        <w:bottom w:val="none" w:sz="0" w:space="0" w:color="auto"/>
        <w:right w:val="none" w:sz="0" w:space="0" w:color="auto"/>
      </w:divBdr>
    </w:div>
    <w:div w:id="1351103214">
      <w:bodyDiv w:val="1"/>
      <w:marLeft w:val="0"/>
      <w:marRight w:val="0"/>
      <w:marTop w:val="0"/>
      <w:marBottom w:val="0"/>
      <w:divBdr>
        <w:top w:val="none" w:sz="0" w:space="0" w:color="auto"/>
        <w:left w:val="none" w:sz="0" w:space="0" w:color="auto"/>
        <w:bottom w:val="none" w:sz="0" w:space="0" w:color="auto"/>
        <w:right w:val="none" w:sz="0" w:space="0" w:color="auto"/>
      </w:divBdr>
    </w:div>
    <w:div w:id="1351952700">
      <w:bodyDiv w:val="1"/>
      <w:marLeft w:val="0"/>
      <w:marRight w:val="0"/>
      <w:marTop w:val="0"/>
      <w:marBottom w:val="0"/>
      <w:divBdr>
        <w:top w:val="none" w:sz="0" w:space="0" w:color="auto"/>
        <w:left w:val="none" w:sz="0" w:space="0" w:color="auto"/>
        <w:bottom w:val="none" w:sz="0" w:space="0" w:color="auto"/>
        <w:right w:val="none" w:sz="0" w:space="0" w:color="auto"/>
      </w:divBdr>
    </w:div>
    <w:div w:id="1355884116">
      <w:bodyDiv w:val="1"/>
      <w:marLeft w:val="0"/>
      <w:marRight w:val="0"/>
      <w:marTop w:val="0"/>
      <w:marBottom w:val="0"/>
      <w:divBdr>
        <w:top w:val="none" w:sz="0" w:space="0" w:color="auto"/>
        <w:left w:val="none" w:sz="0" w:space="0" w:color="auto"/>
        <w:bottom w:val="none" w:sz="0" w:space="0" w:color="auto"/>
        <w:right w:val="none" w:sz="0" w:space="0" w:color="auto"/>
      </w:divBdr>
    </w:div>
    <w:div w:id="1356928365">
      <w:bodyDiv w:val="1"/>
      <w:marLeft w:val="0"/>
      <w:marRight w:val="0"/>
      <w:marTop w:val="0"/>
      <w:marBottom w:val="0"/>
      <w:divBdr>
        <w:top w:val="none" w:sz="0" w:space="0" w:color="auto"/>
        <w:left w:val="none" w:sz="0" w:space="0" w:color="auto"/>
        <w:bottom w:val="none" w:sz="0" w:space="0" w:color="auto"/>
        <w:right w:val="none" w:sz="0" w:space="0" w:color="auto"/>
      </w:divBdr>
    </w:div>
    <w:div w:id="1362583947">
      <w:bodyDiv w:val="1"/>
      <w:marLeft w:val="0"/>
      <w:marRight w:val="0"/>
      <w:marTop w:val="0"/>
      <w:marBottom w:val="0"/>
      <w:divBdr>
        <w:top w:val="none" w:sz="0" w:space="0" w:color="auto"/>
        <w:left w:val="none" w:sz="0" w:space="0" w:color="auto"/>
        <w:bottom w:val="none" w:sz="0" w:space="0" w:color="auto"/>
        <w:right w:val="none" w:sz="0" w:space="0" w:color="auto"/>
      </w:divBdr>
    </w:div>
    <w:div w:id="1368674551">
      <w:bodyDiv w:val="1"/>
      <w:marLeft w:val="0"/>
      <w:marRight w:val="0"/>
      <w:marTop w:val="0"/>
      <w:marBottom w:val="0"/>
      <w:divBdr>
        <w:top w:val="none" w:sz="0" w:space="0" w:color="auto"/>
        <w:left w:val="none" w:sz="0" w:space="0" w:color="auto"/>
        <w:bottom w:val="none" w:sz="0" w:space="0" w:color="auto"/>
        <w:right w:val="none" w:sz="0" w:space="0" w:color="auto"/>
      </w:divBdr>
    </w:div>
    <w:div w:id="1378121828">
      <w:bodyDiv w:val="1"/>
      <w:marLeft w:val="0"/>
      <w:marRight w:val="0"/>
      <w:marTop w:val="0"/>
      <w:marBottom w:val="0"/>
      <w:divBdr>
        <w:top w:val="none" w:sz="0" w:space="0" w:color="auto"/>
        <w:left w:val="none" w:sz="0" w:space="0" w:color="auto"/>
        <w:bottom w:val="none" w:sz="0" w:space="0" w:color="auto"/>
        <w:right w:val="none" w:sz="0" w:space="0" w:color="auto"/>
      </w:divBdr>
    </w:div>
    <w:div w:id="1379666648">
      <w:bodyDiv w:val="1"/>
      <w:marLeft w:val="0"/>
      <w:marRight w:val="0"/>
      <w:marTop w:val="0"/>
      <w:marBottom w:val="0"/>
      <w:divBdr>
        <w:top w:val="none" w:sz="0" w:space="0" w:color="auto"/>
        <w:left w:val="none" w:sz="0" w:space="0" w:color="auto"/>
        <w:bottom w:val="none" w:sz="0" w:space="0" w:color="auto"/>
        <w:right w:val="none" w:sz="0" w:space="0" w:color="auto"/>
      </w:divBdr>
    </w:div>
    <w:div w:id="1380976242">
      <w:bodyDiv w:val="1"/>
      <w:marLeft w:val="0"/>
      <w:marRight w:val="0"/>
      <w:marTop w:val="0"/>
      <w:marBottom w:val="0"/>
      <w:divBdr>
        <w:top w:val="none" w:sz="0" w:space="0" w:color="auto"/>
        <w:left w:val="none" w:sz="0" w:space="0" w:color="auto"/>
        <w:bottom w:val="none" w:sz="0" w:space="0" w:color="auto"/>
        <w:right w:val="none" w:sz="0" w:space="0" w:color="auto"/>
      </w:divBdr>
    </w:div>
    <w:div w:id="1384986829">
      <w:bodyDiv w:val="1"/>
      <w:marLeft w:val="0"/>
      <w:marRight w:val="0"/>
      <w:marTop w:val="0"/>
      <w:marBottom w:val="0"/>
      <w:divBdr>
        <w:top w:val="none" w:sz="0" w:space="0" w:color="auto"/>
        <w:left w:val="none" w:sz="0" w:space="0" w:color="auto"/>
        <w:bottom w:val="none" w:sz="0" w:space="0" w:color="auto"/>
        <w:right w:val="none" w:sz="0" w:space="0" w:color="auto"/>
      </w:divBdr>
    </w:div>
    <w:div w:id="1386175024">
      <w:bodyDiv w:val="1"/>
      <w:marLeft w:val="0"/>
      <w:marRight w:val="0"/>
      <w:marTop w:val="0"/>
      <w:marBottom w:val="0"/>
      <w:divBdr>
        <w:top w:val="none" w:sz="0" w:space="0" w:color="auto"/>
        <w:left w:val="none" w:sz="0" w:space="0" w:color="auto"/>
        <w:bottom w:val="none" w:sz="0" w:space="0" w:color="auto"/>
        <w:right w:val="none" w:sz="0" w:space="0" w:color="auto"/>
      </w:divBdr>
    </w:div>
    <w:div w:id="1388996137">
      <w:bodyDiv w:val="1"/>
      <w:marLeft w:val="0"/>
      <w:marRight w:val="0"/>
      <w:marTop w:val="0"/>
      <w:marBottom w:val="0"/>
      <w:divBdr>
        <w:top w:val="none" w:sz="0" w:space="0" w:color="auto"/>
        <w:left w:val="none" w:sz="0" w:space="0" w:color="auto"/>
        <w:bottom w:val="none" w:sz="0" w:space="0" w:color="auto"/>
        <w:right w:val="none" w:sz="0" w:space="0" w:color="auto"/>
      </w:divBdr>
    </w:div>
    <w:div w:id="1394934453">
      <w:bodyDiv w:val="1"/>
      <w:marLeft w:val="0"/>
      <w:marRight w:val="0"/>
      <w:marTop w:val="0"/>
      <w:marBottom w:val="0"/>
      <w:divBdr>
        <w:top w:val="none" w:sz="0" w:space="0" w:color="auto"/>
        <w:left w:val="none" w:sz="0" w:space="0" w:color="auto"/>
        <w:bottom w:val="none" w:sz="0" w:space="0" w:color="auto"/>
        <w:right w:val="none" w:sz="0" w:space="0" w:color="auto"/>
      </w:divBdr>
    </w:div>
    <w:div w:id="1400593936">
      <w:bodyDiv w:val="1"/>
      <w:marLeft w:val="0"/>
      <w:marRight w:val="0"/>
      <w:marTop w:val="0"/>
      <w:marBottom w:val="0"/>
      <w:divBdr>
        <w:top w:val="none" w:sz="0" w:space="0" w:color="auto"/>
        <w:left w:val="none" w:sz="0" w:space="0" w:color="auto"/>
        <w:bottom w:val="none" w:sz="0" w:space="0" w:color="auto"/>
        <w:right w:val="none" w:sz="0" w:space="0" w:color="auto"/>
      </w:divBdr>
    </w:div>
    <w:div w:id="1403410547">
      <w:bodyDiv w:val="1"/>
      <w:marLeft w:val="0"/>
      <w:marRight w:val="0"/>
      <w:marTop w:val="0"/>
      <w:marBottom w:val="0"/>
      <w:divBdr>
        <w:top w:val="none" w:sz="0" w:space="0" w:color="auto"/>
        <w:left w:val="none" w:sz="0" w:space="0" w:color="auto"/>
        <w:bottom w:val="none" w:sz="0" w:space="0" w:color="auto"/>
        <w:right w:val="none" w:sz="0" w:space="0" w:color="auto"/>
      </w:divBdr>
    </w:div>
    <w:div w:id="1413350865">
      <w:bodyDiv w:val="1"/>
      <w:marLeft w:val="0"/>
      <w:marRight w:val="0"/>
      <w:marTop w:val="0"/>
      <w:marBottom w:val="0"/>
      <w:divBdr>
        <w:top w:val="none" w:sz="0" w:space="0" w:color="auto"/>
        <w:left w:val="none" w:sz="0" w:space="0" w:color="auto"/>
        <w:bottom w:val="none" w:sz="0" w:space="0" w:color="auto"/>
        <w:right w:val="none" w:sz="0" w:space="0" w:color="auto"/>
      </w:divBdr>
    </w:div>
    <w:div w:id="1435898775">
      <w:bodyDiv w:val="1"/>
      <w:marLeft w:val="0"/>
      <w:marRight w:val="0"/>
      <w:marTop w:val="0"/>
      <w:marBottom w:val="0"/>
      <w:divBdr>
        <w:top w:val="none" w:sz="0" w:space="0" w:color="auto"/>
        <w:left w:val="none" w:sz="0" w:space="0" w:color="auto"/>
        <w:bottom w:val="none" w:sz="0" w:space="0" w:color="auto"/>
        <w:right w:val="none" w:sz="0" w:space="0" w:color="auto"/>
      </w:divBdr>
    </w:div>
    <w:div w:id="1436243865">
      <w:bodyDiv w:val="1"/>
      <w:marLeft w:val="0"/>
      <w:marRight w:val="0"/>
      <w:marTop w:val="0"/>
      <w:marBottom w:val="0"/>
      <w:divBdr>
        <w:top w:val="none" w:sz="0" w:space="0" w:color="auto"/>
        <w:left w:val="none" w:sz="0" w:space="0" w:color="auto"/>
        <w:bottom w:val="none" w:sz="0" w:space="0" w:color="auto"/>
        <w:right w:val="none" w:sz="0" w:space="0" w:color="auto"/>
      </w:divBdr>
    </w:div>
    <w:div w:id="1439371449">
      <w:bodyDiv w:val="1"/>
      <w:marLeft w:val="0"/>
      <w:marRight w:val="0"/>
      <w:marTop w:val="0"/>
      <w:marBottom w:val="0"/>
      <w:divBdr>
        <w:top w:val="none" w:sz="0" w:space="0" w:color="auto"/>
        <w:left w:val="none" w:sz="0" w:space="0" w:color="auto"/>
        <w:bottom w:val="none" w:sz="0" w:space="0" w:color="auto"/>
        <w:right w:val="none" w:sz="0" w:space="0" w:color="auto"/>
      </w:divBdr>
    </w:div>
    <w:div w:id="1453406635">
      <w:bodyDiv w:val="1"/>
      <w:marLeft w:val="0"/>
      <w:marRight w:val="0"/>
      <w:marTop w:val="0"/>
      <w:marBottom w:val="0"/>
      <w:divBdr>
        <w:top w:val="none" w:sz="0" w:space="0" w:color="auto"/>
        <w:left w:val="none" w:sz="0" w:space="0" w:color="auto"/>
        <w:bottom w:val="none" w:sz="0" w:space="0" w:color="auto"/>
        <w:right w:val="none" w:sz="0" w:space="0" w:color="auto"/>
      </w:divBdr>
    </w:div>
    <w:div w:id="1454246337">
      <w:bodyDiv w:val="1"/>
      <w:marLeft w:val="0"/>
      <w:marRight w:val="0"/>
      <w:marTop w:val="0"/>
      <w:marBottom w:val="0"/>
      <w:divBdr>
        <w:top w:val="none" w:sz="0" w:space="0" w:color="auto"/>
        <w:left w:val="none" w:sz="0" w:space="0" w:color="auto"/>
        <w:bottom w:val="none" w:sz="0" w:space="0" w:color="auto"/>
        <w:right w:val="none" w:sz="0" w:space="0" w:color="auto"/>
      </w:divBdr>
    </w:div>
    <w:div w:id="1454250262">
      <w:bodyDiv w:val="1"/>
      <w:marLeft w:val="0"/>
      <w:marRight w:val="0"/>
      <w:marTop w:val="0"/>
      <w:marBottom w:val="0"/>
      <w:divBdr>
        <w:top w:val="none" w:sz="0" w:space="0" w:color="auto"/>
        <w:left w:val="none" w:sz="0" w:space="0" w:color="auto"/>
        <w:bottom w:val="none" w:sz="0" w:space="0" w:color="auto"/>
        <w:right w:val="none" w:sz="0" w:space="0" w:color="auto"/>
      </w:divBdr>
    </w:div>
    <w:div w:id="1458835625">
      <w:bodyDiv w:val="1"/>
      <w:marLeft w:val="0"/>
      <w:marRight w:val="0"/>
      <w:marTop w:val="0"/>
      <w:marBottom w:val="0"/>
      <w:divBdr>
        <w:top w:val="none" w:sz="0" w:space="0" w:color="auto"/>
        <w:left w:val="none" w:sz="0" w:space="0" w:color="auto"/>
        <w:bottom w:val="none" w:sz="0" w:space="0" w:color="auto"/>
        <w:right w:val="none" w:sz="0" w:space="0" w:color="auto"/>
      </w:divBdr>
    </w:div>
    <w:div w:id="1460875947">
      <w:bodyDiv w:val="1"/>
      <w:marLeft w:val="0"/>
      <w:marRight w:val="0"/>
      <w:marTop w:val="0"/>
      <w:marBottom w:val="0"/>
      <w:divBdr>
        <w:top w:val="none" w:sz="0" w:space="0" w:color="auto"/>
        <w:left w:val="none" w:sz="0" w:space="0" w:color="auto"/>
        <w:bottom w:val="none" w:sz="0" w:space="0" w:color="auto"/>
        <w:right w:val="none" w:sz="0" w:space="0" w:color="auto"/>
      </w:divBdr>
    </w:div>
    <w:div w:id="1462067654">
      <w:bodyDiv w:val="1"/>
      <w:marLeft w:val="0"/>
      <w:marRight w:val="0"/>
      <w:marTop w:val="0"/>
      <w:marBottom w:val="0"/>
      <w:divBdr>
        <w:top w:val="none" w:sz="0" w:space="0" w:color="auto"/>
        <w:left w:val="none" w:sz="0" w:space="0" w:color="auto"/>
        <w:bottom w:val="none" w:sz="0" w:space="0" w:color="auto"/>
        <w:right w:val="none" w:sz="0" w:space="0" w:color="auto"/>
      </w:divBdr>
    </w:div>
    <w:div w:id="1465929040">
      <w:bodyDiv w:val="1"/>
      <w:marLeft w:val="0"/>
      <w:marRight w:val="0"/>
      <w:marTop w:val="0"/>
      <w:marBottom w:val="0"/>
      <w:divBdr>
        <w:top w:val="none" w:sz="0" w:space="0" w:color="auto"/>
        <w:left w:val="none" w:sz="0" w:space="0" w:color="auto"/>
        <w:bottom w:val="none" w:sz="0" w:space="0" w:color="auto"/>
        <w:right w:val="none" w:sz="0" w:space="0" w:color="auto"/>
      </w:divBdr>
    </w:div>
    <w:div w:id="1470903982">
      <w:bodyDiv w:val="1"/>
      <w:marLeft w:val="0"/>
      <w:marRight w:val="0"/>
      <w:marTop w:val="0"/>
      <w:marBottom w:val="0"/>
      <w:divBdr>
        <w:top w:val="none" w:sz="0" w:space="0" w:color="auto"/>
        <w:left w:val="none" w:sz="0" w:space="0" w:color="auto"/>
        <w:bottom w:val="none" w:sz="0" w:space="0" w:color="auto"/>
        <w:right w:val="none" w:sz="0" w:space="0" w:color="auto"/>
      </w:divBdr>
    </w:div>
    <w:div w:id="1488328502">
      <w:bodyDiv w:val="1"/>
      <w:marLeft w:val="0"/>
      <w:marRight w:val="0"/>
      <w:marTop w:val="0"/>
      <w:marBottom w:val="0"/>
      <w:divBdr>
        <w:top w:val="none" w:sz="0" w:space="0" w:color="auto"/>
        <w:left w:val="none" w:sz="0" w:space="0" w:color="auto"/>
        <w:bottom w:val="none" w:sz="0" w:space="0" w:color="auto"/>
        <w:right w:val="none" w:sz="0" w:space="0" w:color="auto"/>
      </w:divBdr>
    </w:div>
    <w:div w:id="1491870164">
      <w:bodyDiv w:val="1"/>
      <w:marLeft w:val="0"/>
      <w:marRight w:val="0"/>
      <w:marTop w:val="0"/>
      <w:marBottom w:val="0"/>
      <w:divBdr>
        <w:top w:val="none" w:sz="0" w:space="0" w:color="auto"/>
        <w:left w:val="none" w:sz="0" w:space="0" w:color="auto"/>
        <w:bottom w:val="none" w:sz="0" w:space="0" w:color="auto"/>
        <w:right w:val="none" w:sz="0" w:space="0" w:color="auto"/>
      </w:divBdr>
    </w:div>
    <w:div w:id="1498879559">
      <w:bodyDiv w:val="1"/>
      <w:marLeft w:val="0"/>
      <w:marRight w:val="0"/>
      <w:marTop w:val="0"/>
      <w:marBottom w:val="0"/>
      <w:divBdr>
        <w:top w:val="none" w:sz="0" w:space="0" w:color="auto"/>
        <w:left w:val="none" w:sz="0" w:space="0" w:color="auto"/>
        <w:bottom w:val="none" w:sz="0" w:space="0" w:color="auto"/>
        <w:right w:val="none" w:sz="0" w:space="0" w:color="auto"/>
      </w:divBdr>
    </w:div>
    <w:div w:id="1499078282">
      <w:bodyDiv w:val="1"/>
      <w:marLeft w:val="0"/>
      <w:marRight w:val="0"/>
      <w:marTop w:val="0"/>
      <w:marBottom w:val="0"/>
      <w:divBdr>
        <w:top w:val="none" w:sz="0" w:space="0" w:color="auto"/>
        <w:left w:val="none" w:sz="0" w:space="0" w:color="auto"/>
        <w:bottom w:val="none" w:sz="0" w:space="0" w:color="auto"/>
        <w:right w:val="none" w:sz="0" w:space="0" w:color="auto"/>
      </w:divBdr>
    </w:div>
    <w:div w:id="1506476099">
      <w:bodyDiv w:val="1"/>
      <w:marLeft w:val="0"/>
      <w:marRight w:val="0"/>
      <w:marTop w:val="0"/>
      <w:marBottom w:val="0"/>
      <w:divBdr>
        <w:top w:val="none" w:sz="0" w:space="0" w:color="auto"/>
        <w:left w:val="none" w:sz="0" w:space="0" w:color="auto"/>
        <w:bottom w:val="none" w:sz="0" w:space="0" w:color="auto"/>
        <w:right w:val="none" w:sz="0" w:space="0" w:color="auto"/>
      </w:divBdr>
    </w:div>
    <w:div w:id="1507092035">
      <w:bodyDiv w:val="1"/>
      <w:marLeft w:val="0"/>
      <w:marRight w:val="0"/>
      <w:marTop w:val="0"/>
      <w:marBottom w:val="0"/>
      <w:divBdr>
        <w:top w:val="none" w:sz="0" w:space="0" w:color="auto"/>
        <w:left w:val="none" w:sz="0" w:space="0" w:color="auto"/>
        <w:bottom w:val="none" w:sz="0" w:space="0" w:color="auto"/>
        <w:right w:val="none" w:sz="0" w:space="0" w:color="auto"/>
      </w:divBdr>
    </w:div>
    <w:div w:id="1514371582">
      <w:bodyDiv w:val="1"/>
      <w:marLeft w:val="0"/>
      <w:marRight w:val="0"/>
      <w:marTop w:val="0"/>
      <w:marBottom w:val="0"/>
      <w:divBdr>
        <w:top w:val="none" w:sz="0" w:space="0" w:color="auto"/>
        <w:left w:val="none" w:sz="0" w:space="0" w:color="auto"/>
        <w:bottom w:val="none" w:sz="0" w:space="0" w:color="auto"/>
        <w:right w:val="none" w:sz="0" w:space="0" w:color="auto"/>
      </w:divBdr>
    </w:div>
    <w:div w:id="1517310115">
      <w:bodyDiv w:val="1"/>
      <w:marLeft w:val="0"/>
      <w:marRight w:val="0"/>
      <w:marTop w:val="0"/>
      <w:marBottom w:val="0"/>
      <w:divBdr>
        <w:top w:val="none" w:sz="0" w:space="0" w:color="auto"/>
        <w:left w:val="none" w:sz="0" w:space="0" w:color="auto"/>
        <w:bottom w:val="none" w:sz="0" w:space="0" w:color="auto"/>
        <w:right w:val="none" w:sz="0" w:space="0" w:color="auto"/>
      </w:divBdr>
    </w:div>
    <w:div w:id="1521164315">
      <w:bodyDiv w:val="1"/>
      <w:marLeft w:val="0"/>
      <w:marRight w:val="0"/>
      <w:marTop w:val="0"/>
      <w:marBottom w:val="0"/>
      <w:divBdr>
        <w:top w:val="none" w:sz="0" w:space="0" w:color="auto"/>
        <w:left w:val="none" w:sz="0" w:space="0" w:color="auto"/>
        <w:bottom w:val="none" w:sz="0" w:space="0" w:color="auto"/>
        <w:right w:val="none" w:sz="0" w:space="0" w:color="auto"/>
      </w:divBdr>
    </w:div>
    <w:div w:id="1526945284">
      <w:bodyDiv w:val="1"/>
      <w:marLeft w:val="0"/>
      <w:marRight w:val="0"/>
      <w:marTop w:val="0"/>
      <w:marBottom w:val="0"/>
      <w:divBdr>
        <w:top w:val="none" w:sz="0" w:space="0" w:color="auto"/>
        <w:left w:val="none" w:sz="0" w:space="0" w:color="auto"/>
        <w:bottom w:val="none" w:sz="0" w:space="0" w:color="auto"/>
        <w:right w:val="none" w:sz="0" w:space="0" w:color="auto"/>
      </w:divBdr>
    </w:div>
    <w:div w:id="1527062960">
      <w:bodyDiv w:val="1"/>
      <w:marLeft w:val="0"/>
      <w:marRight w:val="0"/>
      <w:marTop w:val="0"/>
      <w:marBottom w:val="0"/>
      <w:divBdr>
        <w:top w:val="none" w:sz="0" w:space="0" w:color="auto"/>
        <w:left w:val="none" w:sz="0" w:space="0" w:color="auto"/>
        <w:bottom w:val="none" w:sz="0" w:space="0" w:color="auto"/>
        <w:right w:val="none" w:sz="0" w:space="0" w:color="auto"/>
      </w:divBdr>
    </w:div>
    <w:div w:id="1532839565">
      <w:bodyDiv w:val="1"/>
      <w:marLeft w:val="0"/>
      <w:marRight w:val="0"/>
      <w:marTop w:val="0"/>
      <w:marBottom w:val="0"/>
      <w:divBdr>
        <w:top w:val="none" w:sz="0" w:space="0" w:color="auto"/>
        <w:left w:val="none" w:sz="0" w:space="0" w:color="auto"/>
        <w:bottom w:val="none" w:sz="0" w:space="0" w:color="auto"/>
        <w:right w:val="none" w:sz="0" w:space="0" w:color="auto"/>
      </w:divBdr>
    </w:div>
    <w:div w:id="1533767910">
      <w:bodyDiv w:val="1"/>
      <w:marLeft w:val="0"/>
      <w:marRight w:val="0"/>
      <w:marTop w:val="0"/>
      <w:marBottom w:val="0"/>
      <w:divBdr>
        <w:top w:val="none" w:sz="0" w:space="0" w:color="auto"/>
        <w:left w:val="none" w:sz="0" w:space="0" w:color="auto"/>
        <w:bottom w:val="none" w:sz="0" w:space="0" w:color="auto"/>
        <w:right w:val="none" w:sz="0" w:space="0" w:color="auto"/>
      </w:divBdr>
    </w:div>
    <w:div w:id="1535925062">
      <w:bodyDiv w:val="1"/>
      <w:marLeft w:val="0"/>
      <w:marRight w:val="0"/>
      <w:marTop w:val="0"/>
      <w:marBottom w:val="0"/>
      <w:divBdr>
        <w:top w:val="none" w:sz="0" w:space="0" w:color="auto"/>
        <w:left w:val="none" w:sz="0" w:space="0" w:color="auto"/>
        <w:bottom w:val="none" w:sz="0" w:space="0" w:color="auto"/>
        <w:right w:val="none" w:sz="0" w:space="0" w:color="auto"/>
      </w:divBdr>
    </w:div>
    <w:div w:id="1537431107">
      <w:bodyDiv w:val="1"/>
      <w:marLeft w:val="0"/>
      <w:marRight w:val="0"/>
      <w:marTop w:val="0"/>
      <w:marBottom w:val="0"/>
      <w:divBdr>
        <w:top w:val="none" w:sz="0" w:space="0" w:color="auto"/>
        <w:left w:val="none" w:sz="0" w:space="0" w:color="auto"/>
        <w:bottom w:val="none" w:sz="0" w:space="0" w:color="auto"/>
        <w:right w:val="none" w:sz="0" w:space="0" w:color="auto"/>
      </w:divBdr>
    </w:div>
    <w:div w:id="1538733137">
      <w:bodyDiv w:val="1"/>
      <w:marLeft w:val="0"/>
      <w:marRight w:val="0"/>
      <w:marTop w:val="0"/>
      <w:marBottom w:val="0"/>
      <w:divBdr>
        <w:top w:val="none" w:sz="0" w:space="0" w:color="auto"/>
        <w:left w:val="none" w:sz="0" w:space="0" w:color="auto"/>
        <w:bottom w:val="none" w:sz="0" w:space="0" w:color="auto"/>
        <w:right w:val="none" w:sz="0" w:space="0" w:color="auto"/>
      </w:divBdr>
    </w:div>
    <w:div w:id="1541018127">
      <w:bodyDiv w:val="1"/>
      <w:marLeft w:val="0"/>
      <w:marRight w:val="0"/>
      <w:marTop w:val="0"/>
      <w:marBottom w:val="0"/>
      <w:divBdr>
        <w:top w:val="none" w:sz="0" w:space="0" w:color="auto"/>
        <w:left w:val="none" w:sz="0" w:space="0" w:color="auto"/>
        <w:bottom w:val="none" w:sz="0" w:space="0" w:color="auto"/>
        <w:right w:val="none" w:sz="0" w:space="0" w:color="auto"/>
      </w:divBdr>
    </w:div>
    <w:div w:id="1543248610">
      <w:bodyDiv w:val="1"/>
      <w:marLeft w:val="0"/>
      <w:marRight w:val="0"/>
      <w:marTop w:val="0"/>
      <w:marBottom w:val="0"/>
      <w:divBdr>
        <w:top w:val="none" w:sz="0" w:space="0" w:color="auto"/>
        <w:left w:val="none" w:sz="0" w:space="0" w:color="auto"/>
        <w:bottom w:val="none" w:sz="0" w:space="0" w:color="auto"/>
        <w:right w:val="none" w:sz="0" w:space="0" w:color="auto"/>
      </w:divBdr>
    </w:div>
    <w:div w:id="1552376368">
      <w:bodyDiv w:val="1"/>
      <w:marLeft w:val="0"/>
      <w:marRight w:val="0"/>
      <w:marTop w:val="0"/>
      <w:marBottom w:val="0"/>
      <w:divBdr>
        <w:top w:val="none" w:sz="0" w:space="0" w:color="auto"/>
        <w:left w:val="none" w:sz="0" w:space="0" w:color="auto"/>
        <w:bottom w:val="none" w:sz="0" w:space="0" w:color="auto"/>
        <w:right w:val="none" w:sz="0" w:space="0" w:color="auto"/>
      </w:divBdr>
    </w:div>
    <w:div w:id="1558393019">
      <w:bodyDiv w:val="1"/>
      <w:marLeft w:val="0"/>
      <w:marRight w:val="0"/>
      <w:marTop w:val="0"/>
      <w:marBottom w:val="0"/>
      <w:divBdr>
        <w:top w:val="none" w:sz="0" w:space="0" w:color="auto"/>
        <w:left w:val="none" w:sz="0" w:space="0" w:color="auto"/>
        <w:bottom w:val="none" w:sz="0" w:space="0" w:color="auto"/>
        <w:right w:val="none" w:sz="0" w:space="0" w:color="auto"/>
      </w:divBdr>
    </w:div>
    <w:div w:id="1561407020">
      <w:bodyDiv w:val="1"/>
      <w:marLeft w:val="0"/>
      <w:marRight w:val="0"/>
      <w:marTop w:val="0"/>
      <w:marBottom w:val="0"/>
      <w:divBdr>
        <w:top w:val="none" w:sz="0" w:space="0" w:color="auto"/>
        <w:left w:val="none" w:sz="0" w:space="0" w:color="auto"/>
        <w:bottom w:val="none" w:sz="0" w:space="0" w:color="auto"/>
        <w:right w:val="none" w:sz="0" w:space="0" w:color="auto"/>
      </w:divBdr>
    </w:div>
    <w:div w:id="1579679834">
      <w:bodyDiv w:val="1"/>
      <w:marLeft w:val="0"/>
      <w:marRight w:val="0"/>
      <w:marTop w:val="0"/>
      <w:marBottom w:val="0"/>
      <w:divBdr>
        <w:top w:val="none" w:sz="0" w:space="0" w:color="auto"/>
        <w:left w:val="none" w:sz="0" w:space="0" w:color="auto"/>
        <w:bottom w:val="none" w:sz="0" w:space="0" w:color="auto"/>
        <w:right w:val="none" w:sz="0" w:space="0" w:color="auto"/>
      </w:divBdr>
    </w:div>
    <w:div w:id="1585603171">
      <w:bodyDiv w:val="1"/>
      <w:marLeft w:val="0"/>
      <w:marRight w:val="0"/>
      <w:marTop w:val="0"/>
      <w:marBottom w:val="0"/>
      <w:divBdr>
        <w:top w:val="none" w:sz="0" w:space="0" w:color="auto"/>
        <w:left w:val="none" w:sz="0" w:space="0" w:color="auto"/>
        <w:bottom w:val="none" w:sz="0" w:space="0" w:color="auto"/>
        <w:right w:val="none" w:sz="0" w:space="0" w:color="auto"/>
      </w:divBdr>
    </w:div>
    <w:div w:id="1586180712">
      <w:bodyDiv w:val="1"/>
      <w:marLeft w:val="0"/>
      <w:marRight w:val="0"/>
      <w:marTop w:val="0"/>
      <w:marBottom w:val="0"/>
      <w:divBdr>
        <w:top w:val="none" w:sz="0" w:space="0" w:color="auto"/>
        <w:left w:val="none" w:sz="0" w:space="0" w:color="auto"/>
        <w:bottom w:val="none" w:sz="0" w:space="0" w:color="auto"/>
        <w:right w:val="none" w:sz="0" w:space="0" w:color="auto"/>
      </w:divBdr>
    </w:div>
    <w:div w:id="1588884418">
      <w:bodyDiv w:val="1"/>
      <w:marLeft w:val="0"/>
      <w:marRight w:val="0"/>
      <w:marTop w:val="0"/>
      <w:marBottom w:val="0"/>
      <w:divBdr>
        <w:top w:val="none" w:sz="0" w:space="0" w:color="auto"/>
        <w:left w:val="none" w:sz="0" w:space="0" w:color="auto"/>
        <w:bottom w:val="none" w:sz="0" w:space="0" w:color="auto"/>
        <w:right w:val="none" w:sz="0" w:space="0" w:color="auto"/>
      </w:divBdr>
    </w:div>
    <w:div w:id="1591504433">
      <w:bodyDiv w:val="1"/>
      <w:marLeft w:val="0"/>
      <w:marRight w:val="0"/>
      <w:marTop w:val="0"/>
      <w:marBottom w:val="0"/>
      <w:divBdr>
        <w:top w:val="none" w:sz="0" w:space="0" w:color="auto"/>
        <w:left w:val="none" w:sz="0" w:space="0" w:color="auto"/>
        <w:bottom w:val="none" w:sz="0" w:space="0" w:color="auto"/>
        <w:right w:val="none" w:sz="0" w:space="0" w:color="auto"/>
      </w:divBdr>
    </w:div>
    <w:div w:id="1592544050">
      <w:bodyDiv w:val="1"/>
      <w:marLeft w:val="0"/>
      <w:marRight w:val="0"/>
      <w:marTop w:val="0"/>
      <w:marBottom w:val="0"/>
      <w:divBdr>
        <w:top w:val="none" w:sz="0" w:space="0" w:color="auto"/>
        <w:left w:val="none" w:sz="0" w:space="0" w:color="auto"/>
        <w:bottom w:val="none" w:sz="0" w:space="0" w:color="auto"/>
        <w:right w:val="none" w:sz="0" w:space="0" w:color="auto"/>
      </w:divBdr>
    </w:div>
    <w:div w:id="1596936355">
      <w:bodyDiv w:val="1"/>
      <w:marLeft w:val="0"/>
      <w:marRight w:val="0"/>
      <w:marTop w:val="0"/>
      <w:marBottom w:val="0"/>
      <w:divBdr>
        <w:top w:val="none" w:sz="0" w:space="0" w:color="auto"/>
        <w:left w:val="none" w:sz="0" w:space="0" w:color="auto"/>
        <w:bottom w:val="none" w:sz="0" w:space="0" w:color="auto"/>
        <w:right w:val="none" w:sz="0" w:space="0" w:color="auto"/>
      </w:divBdr>
    </w:div>
    <w:div w:id="1599484258">
      <w:bodyDiv w:val="1"/>
      <w:marLeft w:val="0"/>
      <w:marRight w:val="0"/>
      <w:marTop w:val="0"/>
      <w:marBottom w:val="0"/>
      <w:divBdr>
        <w:top w:val="none" w:sz="0" w:space="0" w:color="auto"/>
        <w:left w:val="none" w:sz="0" w:space="0" w:color="auto"/>
        <w:bottom w:val="none" w:sz="0" w:space="0" w:color="auto"/>
        <w:right w:val="none" w:sz="0" w:space="0" w:color="auto"/>
      </w:divBdr>
    </w:div>
    <w:div w:id="1601178887">
      <w:bodyDiv w:val="1"/>
      <w:marLeft w:val="0"/>
      <w:marRight w:val="0"/>
      <w:marTop w:val="0"/>
      <w:marBottom w:val="0"/>
      <w:divBdr>
        <w:top w:val="none" w:sz="0" w:space="0" w:color="auto"/>
        <w:left w:val="none" w:sz="0" w:space="0" w:color="auto"/>
        <w:bottom w:val="none" w:sz="0" w:space="0" w:color="auto"/>
        <w:right w:val="none" w:sz="0" w:space="0" w:color="auto"/>
      </w:divBdr>
    </w:div>
    <w:div w:id="1607538745">
      <w:bodyDiv w:val="1"/>
      <w:marLeft w:val="0"/>
      <w:marRight w:val="0"/>
      <w:marTop w:val="0"/>
      <w:marBottom w:val="0"/>
      <w:divBdr>
        <w:top w:val="none" w:sz="0" w:space="0" w:color="auto"/>
        <w:left w:val="none" w:sz="0" w:space="0" w:color="auto"/>
        <w:bottom w:val="none" w:sz="0" w:space="0" w:color="auto"/>
        <w:right w:val="none" w:sz="0" w:space="0" w:color="auto"/>
      </w:divBdr>
    </w:div>
    <w:div w:id="1609895629">
      <w:bodyDiv w:val="1"/>
      <w:marLeft w:val="0"/>
      <w:marRight w:val="0"/>
      <w:marTop w:val="0"/>
      <w:marBottom w:val="0"/>
      <w:divBdr>
        <w:top w:val="none" w:sz="0" w:space="0" w:color="auto"/>
        <w:left w:val="none" w:sz="0" w:space="0" w:color="auto"/>
        <w:bottom w:val="none" w:sz="0" w:space="0" w:color="auto"/>
        <w:right w:val="none" w:sz="0" w:space="0" w:color="auto"/>
      </w:divBdr>
    </w:div>
    <w:div w:id="1610506090">
      <w:bodyDiv w:val="1"/>
      <w:marLeft w:val="0"/>
      <w:marRight w:val="0"/>
      <w:marTop w:val="0"/>
      <w:marBottom w:val="0"/>
      <w:divBdr>
        <w:top w:val="none" w:sz="0" w:space="0" w:color="auto"/>
        <w:left w:val="none" w:sz="0" w:space="0" w:color="auto"/>
        <w:bottom w:val="none" w:sz="0" w:space="0" w:color="auto"/>
        <w:right w:val="none" w:sz="0" w:space="0" w:color="auto"/>
      </w:divBdr>
    </w:div>
    <w:div w:id="1615163617">
      <w:bodyDiv w:val="1"/>
      <w:marLeft w:val="0"/>
      <w:marRight w:val="0"/>
      <w:marTop w:val="0"/>
      <w:marBottom w:val="0"/>
      <w:divBdr>
        <w:top w:val="none" w:sz="0" w:space="0" w:color="auto"/>
        <w:left w:val="none" w:sz="0" w:space="0" w:color="auto"/>
        <w:bottom w:val="none" w:sz="0" w:space="0" w:color="auto"/>
        <w:right w:val="none" w:sz="0" w:space="0" w:color="auto"/>
      </w:divBdr>
    </w:div>
    <w:div w:id="1616596458">
      <w:bodyDiv w:val="1"/>
      <w:marLeft w:val="0"/>
      <w:marRight w:val="0"/>
      <w:marTop w:val="0"/>
      <w:marBottom w:val="0"/>
      <w:divBdr>
        <w:top w:val="none" w:sz="0" w:space="0" w:color="auto"/>
        <w:left w:val="none" w:sz="0" w:space="0" w:color="auto"/>
        <w:bottom w:val="none" w:sz="0" w:space="0" w:color="auto"/>
        <w:right w:val="none" w:sz="0" w:space="0" w:color="auto"/>
      </w:divBdr>
    </w:div>
    <w:div w:id="1619868300">
      <w:bodyDiv w:val="1"/>
      <w:marLeft w:val="0"/>
      <w:marRight w:val="0"/>
      <w:marTop w:val="0"/>
      <w:marBottom w:val="0"/>
      <w:divBdr>
        <w:top w:val="none" w:sz="0" w:space="0" w:color="auto"/>
        <w:left w:val="none" w:sz="0" w:space="0" w:color="auto"/>
        <w:bottom w:val="none" w:sz="0" w:space="0" w:color="auto"/>
        <w:right w:val="none" w:sz="0" w:space="0" w:color="auto"/>
      </w:divBdr>
    </w:div>
    <w:div w:id="1621064205">
      <w:bodyDiv w:val="1"/>
      <w:marLeft w:val="0"/>
      <w:marRight w:val="0"/>
      <w:marTop w:val="0"/>
      <w:marBottom w:val="0"/>
      <w:divBdr>
        <w:top w:val="none" w:sz="0" w:space="0" w:color="auto"/>
        <w:left w:val="none" w:sz="0" w:space="0" w:color="auto"/>
        <w:bottom w:val="none" w:sz="0" w:space="0" w:color="auto"/>
        <w:right w:val="none" w:sz="0" w:space="0" w:color="auto"/>
      </w:divBdr>
    </w:div>
    <w:div w:id="1621719920">
      <w:bodyDiv w:val="1"/>
      <w:marLeft w:val="0"/>
      <w:marRight w:val="0"/>
      <w:marTop w:val="0"/>
      <w:marBottom w:val="0"/>
      <w:divBdr>
        <w:top w:val="none" w:sz="0" w:space="0" w:color="auto"/>
        <w:left w:val="none" w:sz="0" w:space="0" w:color="auto"/>
        <w:bottom w:val="none" w:sz="0" w:space="0" w:color="auto"/>
        <w:right w:val="none" w:sz="0" w:space="0" w:color="auto"/>
      </w:divBdr>
    </w:div>
    <w:div w:id="1627158510">
      <w:bodyDiv w:val="1"/>
      <w:marLeft w:val="0"/>
      <w:marRight w:val="0"/>
      <w:marTop w:val="0"/>
      <w:marBottom w:val="0"/>
      <w:divBdr>
        <w:top w:val="none" w:sz="0" w:space="0" w:color="auto"/>
        <w:left w:val="none" w:sz="0" w:space="0" w:color="auto"/>
        <w:bottom w:val="none" w:sz="0" w:space="0" w:color="auto"/>
        <w:right w:val="none" w:sz="0" w:space="0" w:color="auto"/>
      </w:divBdr>
    </w:div>
    <w:div w:id="1629698978">
      <w:bodyDiv w:val="1"/>
      <w:marLeft w:val="0"/>
      <w:marRight w:val="0"/>
      <w:marTop w:val="0"/>
      <w:marBottom w:val="0"/>
      <w:divBdr>
        <w:top w:val="none" w:sz="0" w:space="0" w:color="auto"/>
        <w:left w:val="none" w:sz="0" w:space="0" w:color="auto"/>
        <w:bottom w:val="none" w:sz="0" w:space="0" w:color="auto"/>
        <w:right w:val="none" w:sz="0" w:space="0" w:color="auto"/>
      </w:divBdr>
    </w:div>
    <w:div w:id="1631325805">
      <w:bodyDiv w:val="1"/>
      <w:marLeft w:val="0"/>
      <w:marRight w:val="0"/>
      <w:marTop w:val="0"/>
      <w:marBottom w:val="0"/>
      <w:divBdr>
        <w:top w:val="none" w:sz="0" w:space="0" w:color="auto"/>
        <w:left w:val="none" w:sz="0" w:space="0" w:color="auto"/>
        <w:bottom w:val="none" w:sz="0" w:space="0" w:color="auto"/>
        <w:right w:val="none" w:sz="0" w:space="0" w:color="auto"/>
      </w:divBdr>
    </w:div>
    <w:div w:id="1640187723">
      <w:bodyDiv w:val="1"/>
      <w:marLeft w:val="0"/>
      <w:marRight w:val="0"/>
      <w:marTop w:val="0"/>
      <w:marBottom w:val="0"/>
      <w:divBdr>
        <w:top w:val="none" w:sz="0" w:space="0" w:color="auto"/>
        <w:left w:val="none" w:sz="0" w:space="0" w:color="auto"/>
        <w:bottom w:val="none" w:sz="0" w:space="0" w:color="auto"/>
        <w:right w:val="none" w:sz="0" w:space="0" w:color="auto"/>
      </w:divBdr>
    </w:div>
    <w:div w:id="1644383208">
      <w:bodyDiv w:val="1"/>
      <w:marLeft w:val="0"/>
      <w:marRight w:val="0"/>
      <w:marTop w:val="0"/>
      <w:marBottom w:val="0"/>
      <w:divBdr>
        <w:top w:val="none" w:sz="0" w:space="0" w:color="auto"/>
        <w:left w:val="none" w:sz="0" w:space="0" w:color="auto"/>
        <w:bottom w:val="none" w:sz="0" w:space="0" w:color="auto"/>
        <w:right w:val="none" w:sz="0" w:space="0" w:color="auto"/>
      </w:divBdr>
    </w:div>
    <w:div w:id="1646928436">
      <w:bodyDiv w:val="1"/>
      <w:marLeft w:val="0"/>
      <w:marRight w:val="0"/>
      <w:marTop w:val="0"/>
      <w:marBottom w:val="0"/>
      <w:divBdr>
        <w:top w:val="none" w:sz="0" w:space="0" w:color="auto"/>
        <w:left w:val="none" w:sz="0" w:space="0" w:color="auto"/>
        <w:bottom w:val="none" w:sz="0" w:space="0" w:color="auto"/>
        <w:right w:val="none" w:sz="0" w:space="0" w:color="auto"/>
      </w:divBdr>
    </w:div>
    <w:div w:id="1648624618">
      <w:bodyDiv w:val="1"/>
      <w:marLeft w:val="0"/>
      <w:marRight w:val="0"/>
      <w:marTop w:val="0"/>
      <w:marBottom w:val="0"/>
      <w:divBdr>
        <w:top w:val="none" w:sz="0" w:space="0" w:color="auto"/>
        <w:left w:val="none" w:sz="0" w:space="0" w:color="auto"/>
        <w:bottom w:val="none" w:sz="0" w:space="0" w:color="auto"/>
        <w:right w:val="none" w:sz="0" w:space="0" w:color="auto"/>
      </w:divBdr>
    </w:div>
    <w:div w:id="1660964662">
      <w:bodyDiv w:val="1"/>
      <w:marLeft w:val="0"/>
      <w:marRight w:val="0"/>
      <w:marTop w:val="0"/>
      <w:marBottom w:val="0"/>
      <w:divBdr>
        <w:top w:val="none" w:sz="0" w:space="0" w:color="auto"/>
        <w:left w:val="none" w:sz="0" w:space="0" w:color="auto"/>
        <w:bottom w:val="none" w:sz="0" w:space="0" w:color="auto"/>
        <w:right w:val="none" w:sz="0" w:space="0" w:color="auto"/>
      </w:divBdr>
    </w:div>
    <w:div w:id="1667857034">
      <w:bodyDiv w:val="1"/>
      <w:marLeft w:val="0"/>
      <w:marRight w:val="0"/>
      <w:marTop w:val="0"/>
      <w:marBottom w:val="0"/>
      <w:divBdr>
        <w:top w:val="none" w:sz="0" w:space="0" w:color="auto"/>
        <w:left w:val="none" w:sz="0" w:space="0" w:color="auto"/>
        <w:bottom w:val="none" w:sz="0" w:space="0" w:color="auto"/>
        <w:right w:val="none" w:sz="0" w:space="0" w:color="auto"/>
      </w:divBdr>
    </w:div>
    <w:div w:id="1668241030">
      <w:bodyDiv w:val="1"/>
      <w:marLeft w:val="0"/>
      <w:marRight w:val="0"/>
      <w:marTop w:val="0"/>
      <w:marBottom w:val="0"/>
      <w:divBdr>
        <w:top w:val="none" w:sz="0" w:space="0" w:color="auto"/>
        <w:left w:val="none" w:sz="0" w:space="0" w:color="auto"/>
        <w:bottom w:val="none" w:sz="0" w:space="0" w:color="auto"/>
        <w:right w:val="none" w:sz="0" w:space="0" w:color="auto"/>
      </w:divBdr>
    </w:div>
    <w:div w:id="1668288505">
      <w:bodyDiv w:val="1"/>
      <w:marLeft w:val="0"/>
      <w:marRight w:val="0"/>
      <w:marTop w:val="0"/>
      <w:marBottom w:val="0"/>
      <w:divBdr>
        <w:top w:val="none" w:sz="0" w:space="0" w:color="auto"/>
        <w:left w:val="none" w:sz="0" w:space="0" w:color="auto"/>
        <w:bottom w:val="none" w:sz="0" w:space="0" w:color="auto"/>
        <w:right w:val="none" w:sz="0" w:space="0" w:color="auto"/>
      </w:divBdr>
    </w:div>
    <w:div w:id="1670913255">
      <w:bodyDiv w:val="1"/>
      <w:marLeft w:val="0"/>
      <w:marRight w:val="0"/>
      <w:marTop w:val="0"/>
      <w:marBottom w:val="0"/>
      <w:divBdr>
        <w:top w:val="none" w:sz="0" w:space="0" w:color="auto"/>
        <w:left w:val="none" w:sz="0" w:space="0" w:color="auto"/>
        <w:bottom w:val="none" w:sz="0" w:space="0" w:color="auto"/>
        <w:right w:val="none" w:sz="0" w:space="0" w:color="auto"/>
      </w:divBdr>
    </w:div>
    <w:div w:id="1673607077">
      <w:bodyDiv w:val="1"/>
      <w:marLeft w:val="0"/>
      <w:marRight w:val="0"/>
      <w:marTop w:val="0"/>
      <w:marBottom w:val="0"/>
      <w:divBdr>
        <w:top w:val="none" w:sz="0" w:space="0" w:color="auto"/>
        <w:left w:val="none" w:sz="0" w:space="0" w:color="auto"/>
        <w:bottom w:val="none" w:sz="0" w:space="0" w:color="auto"/>
        <w:right w:val="none" w:sz="0" w:space="0" w:color="auto"/>
      </w:divBdr>
    </w:div>
    <w:div w:id="1691301673">
      <w:bodyDiv w:val="1"/>
      <w:marLeft w:val="0"/>
      <w:marRight w:val="0"/>
      <w:marTop w:val="0"/>
      <w:marBottom w:val="0"/>
      <w:divBdr>
        <w:top w:val="none" w:sz="0" w:space="0" w:color="auto"/>
        <w:left w:val="none" w:sz="0" w:space="0" w:color="auto"/>
        <w:bottom w:val="none" w:sz="0" w:space="0" w:color="auto"/>
        <w:right w:val="none" w:sz="0" w:space="0" w:color="auto"/>
      </w:divBdr>
    </w:div>
    <w:div w:id="1694958223">
      <w:bodyDiv w:val="1"/>
      <w:marLeft w:val="0"/>
      <w:marRight w:val="0"/>
      <w:marTop w:val="0"/>
      <w:marBottom w:val="0"/>
      <w:divBdr>
        <w:top w:val="none" w:sz="0" w:space="0" w:color="auto"/>
        <w:left w:val="none" w:sz="0" w:space="0" w:color="auto"/>
        <w:bottom w:val="none" w:sz="0" w:space="0" w:color="auto"/>
        <w:right w:val="none" w:sz="0" w:space="0" w:color="auto"/>
      </w:divBdr>
    </w:div>
    <w:div w:id="1698123407">
      <w:bodyDiv w:val="1"/>
      <w:marLeft w:val="0"/>
      <w:marRight w:val="0"/>
      <w:marTop w:val="0"/>
      <w:marBottom w:val="0"/>
      <w:divBdr>
        <w:top w:val="none" w:sz="0" w:space="0" w:color="auto"/>
        <w:left w:val="none" w:sz="0" w:space="0" w:color="auto"/>
        <w:bottom w:val="none" w:sz="0" w:space="0" w:color="auto"/>
        <w:right w:val="none" w:sz="0" w:space="0" w:color="auto"/>
      </w:divBdr>
    </w:div>
    <w:div w:id="1706371929">
      <w:bodyDiv w:val="1"/>
      <w:marLeft w:val="0"/>
      <w:marRight w:val="0"/>
      <w:marTop w:val="0"/>
      <w:marBottom w:val="0"/>
      <w:divBdr>
        <w:top w:val="none" w:sz="0" w:space="0" w:color="auto"/>
        <w:left w:val="none" w:sz="0" w:space="0" w:color="auto"/>
        <w:bottom w:val="none" w:sz="0" w:space="0" w:color="auto"/>
        <w:right w:val="none" w:sz="0" w:space="0" w:color="auto"/>
      </w:divBdr>
    </w:div>
    <w:div w:id="1707485560">
      <w:bodyDiv w:val="1"/>
      <w:marLeft w:val="0"/>
      <w:marRight w:val="0"/>
      <w:marTop w:val="0"/>
      <w:marBottom w:val="0"/>
      <w:divBdr>
        <w:top w:val="none" w:sz="0" w:space="0" w:color="auto"/>
        <w:left w:val="none" w:sz="0" w:space="0" w:color="auto"/>
        <w:bottom w:val="none" w:sz="0" w:space="0" w:color="auto"/>
        <w:right w:val="none" w:sz="0" w:space="0" w:color="auto"/>
      </w:divBdr>
    </w:div>
    <w:div w:id="1708409016">
      <w:bodyDiv w:val="1"/>
      <w:marLeft w:val="0"/>
      <w:marRight w:val="0"/>
      <w:marTop w:val="0"/>
      <w:marBottom w:val="0"/>
      <w:divBdr>
        <w:top w:val="none" w:sz="0" w:space="0" w:color="auto"/>
        <w:left w:val="none" w:sz="0" w:space="0" w:color="auto"/>
        <w:bottom w:val="none" w:sz="0" w:space="0" w:color="auto"/>
        <w:right w:val="none" w:sz="0" w:space="0" w:color="auto"/>
      </w:divBdr>
    </w:div>
    <w:div w:id="1712530573">
      <w:bodyDiv w:val="1"/>
      <w:marLeft w:val="0"/>
      <w:marRight w:val="0"/>
      <w:marTop w:val="0"/>
      <w:marBottom w:val="0"/>
      <w:divBdr>
        <w:top w:val="none" w:sz="0" w:space="0" w:color="auto"/>
        <w:left w:val="none" w:sz="0" w:space="0" w:color="auto"/>
        <w:bottom w:val="none" w:sz="0" w:space="0" w:color="auto"/>
        <w:right w:val="none" w:sz="0" w:space="0" w:color="auto"/>
      </w:divBdr>
    </w:div>
    <w:div w:id="1721903644">
      <w:bodyDiv w:val="1"/>
      <w:marLeft w:val="0"/>
      <w:marRight w:val="0"/>
      <w:marTop w:val="0"/>
      <w:marBottom w:val="0"/>
      <w:divBdr>
        <w:top w:val="none" w:sz="0" w:space="0" w:color="auto"/>
        <w:left w:val="none" w:sz="0" w:space="0" w:color="auto"/>
        <w:bottom w:val="none" w:sz="0" w:space="0" w:color="auto"/>
        <w:right w:val="none" w:sz="0" w:space="0" w:color="auto"/>
      </w:divBdr>
    </w:div>
    <w:div w:id="1722245122">
      <w:bodyDiv w:val="1"/>
      <w:marLeft w:val="0"/>
      <w:marRight w:val="0"/>
      <w:marTop w:val="0"/>
      <w:marBottom w:val="0"/>
      <w:divBdr>
        <w:top w:val="none" w:sz="0" w:space="0" w:color="auto"/>
        <w:left w:val="none" w:sz="0" w:space="0" w:color="auto"/>
        <w:bottom w:val="none" w:sz="0" w:space="0" w:color="auto"/>
        <w:right w:val="none" w:sz="0" w:space="0" w:color="auto"/>
      </w:divBdr>
    </w:div>
    <w:div w:id="1722971508">
      <w:bodyDiv w:val="1"/>
      <w:marLeft w:val="0"/>
      <w:marRight w:val="0"/>
      <w:marTop w:val="0"/>
      <w:marBottom w:val="0"/>
      <w:divBdr>
        <w:top w:val="none" w:sz="0" w:space="0" w:color="auto"/>
        <w:left w:val="none" w:sz="0" w:space="0" w:color="auto"/>
        <w:bottom w:val="none" w:sz="0" w:space="0" w:color="auto"/>
        <w:right w:val="none" w:sz="0" w:space="0" w:color="auto"/>
      </w:divBdr>
    </w:div>
    <w:div w:id="1729839861">
      <w:bodyDiv w:val="1"/>
      <w:marLeft w:val="0"/>
      <w:marRight w:val="0"/>
      <w:marTop w:val="0"/>
      <w:marBottom w:val="0"/>
      <w:divBdr>
        <w:top w:val="none" w:sz="0" w:space="0" w:color="auto"/>
        <w:left w:val="none" w:sz="0" w:space="0" w:color="auto"/>
        <w:bottom w:val="none" w:sz="0" w:space="0" w:color="auto"/>
        <w:right w:val="none" w:sz="0" w:space="0" w:color="auto"/>
      </w:divBdr>
    </w:div>
    <w:div w:id="1730759590">
      <w:bodyDiv w:val="1"/>
      <w:marLeft w:val="0"/>
      <w:marRight w:val="0"/>
      <w:marTop w:val="0"/>
      <w:marBottom w:val="0"/>
      <w:divBdr>
        <w:top w:val="none" w:sz="0" w:space="0" w:color="auto"/>
        <w:left w:val="none" w:sz="0" w:space="0" w:color="auto"/>
        <w:bottom w:val="none" w:sz="0" w:space="0" w:color="auto"/>
        <w:right w:val="none" w:sz="0" w:space="0" w:color="auto"/>
      </w:divBdr>
    </w:div>
    <w:div w:id="1731922511">
      <w:bodyDiv w:val="1"/>
      <w:marLeft w:val="0"/>
      <w:marRight w:val="0"/>
      <w:marTop w:val="0"/>
      <w:marBottom w:val="0"/>
      <w:divBdr>
        <w:top w:val="none" w:sz="0" w:space="0" w:color="auto"/>
        <w:left w:val="none" w:sz="0" w:space="0" w:color="auto"/>
        <w:bottom w:val="none" w:sz="0" w:space="0" w:color="auto"/>
        <w:right w:val="none" w:sz="0" w:space="0" w:color="auto"/>
      </w:divBdr>
    </w:div>
    <w:div w:id="1732070903">
      <w:bodyDiv w:val="1"/>
      <w:marLeft w:val="0"/>
      <w:marRight w:val="0"/>
      <w:marTop w:val="0"/>
      <w:marBottom w:val="0"/>
      <w:divBdr>
        <w:top w:val="none" w:sz="0" w:space="0" w:color="auto"/>
        <w:left w:val="none" w:sz="0" w:space="0" w:color="auto"/>
        <w:bottom w:val="none" w:sz="0" w:space="0" w:color="auto"/>
        <w:right w:val="none" w:sz="0" w:space="0" w:color="auto"/>
      </w:divBdr>
    </w:div>
    <w:div w:id="1733848029">
      <w:bodyDiv w:val="1"/>
      <w:marLeft w:val="0"/>
      <w:marRight w:val="0"/>
      <w:marTop w:val="0"/>
      <w:marBottom w:val="0"/>
      <w:divBdr>
        <w:top w:val="none" w:sz="0" w:space="0" w:color="auto"/>
        <w:left w:val="none" w:sz="0" w:space="0" w:color="auto"/>
        <w:bottom w:val="none" w:sz="0" w:space="0" w:color="auto"/>
        <w:right w:val="none" w:sz="0" w:space="0" w:color="auto"/>
      </w:divBdr>
    </w:div>
    <w:div w:id="1735347726">
      <w:bodyDiv w:val="1"/>
      <w:marLeft w:val="0"/>
      <w:marRight w:val="0"/>
      <w:marTop w:val="0"/>
      <w:marBottom w:val="0"/>
      <w:divBdr>
        <w:top w:val="none" w:sz="0" w:space="0" w:color="auto"/>
        <w:left w:val="none" w:sz="0" w:space="0" w:color="auto"/>
        <w:bottom w:val="none" w:sz="0" w:space="0" w:color="auto"/>
        <w:right w:val="none" w:sz="0" w:space="0" w:color="auto"/>
      </w:divBdr>
    </w:div>
    <w:div w:id="1737128161">
      <w:bodyDiv w:val="1"/>
      <w:marLeft w:val="0"/>
      <w:marRight w:val="0"/>
      <w:marTop w:val="0"/>
      <w:marBottom w:val="0"/>
      <w:divBdr>
        <w:top w:val="none" w:sz="0" w:space="0" w:color="auto"/>
        <w:left w:val="none" w:sz="0" w:space="0" w:color="auto"/>
        <w:bottom w:val="none" w:sz="0" w:space="0" w:color="auto"/>
        <w:right w:val="none" w:sz="0" w:space="0" w:color="auto"/>
      </w:divBdr>
    </w:div>
    <w:div w:id="1751003237">
      <w:bodyDiv w:val="1"/>
      <w:marLeft w:val="0"/>
      <w:marRight w:val="0"/>
      <w:marTop w:val="0"/>
      <w:marBottom w:val="0"/>
      <w:divBdr>
        <w:top w:val="none" w:sz="0" w:space="0" w:color="auto"/>
        <w:left w:val="none" w:sz="0" w:space="0" w:color="auto"/>
        <w:bottom w:val="none" w:sz="0" w:space="0" w:color="auto"/>
        <w:right w:val="none" w:sz="0" w:space="0" w:color="auto"/>
      </w:divBdr>
    </w:div>
    <w:div w:id="1754669084">
      <w:bodyDiv w:val="1"/>
      <w:marLeft w:val="0"/>
      <w:marRight w:val="0"/>
      <w:marTop w:val="0"/>
      <w:marBottom w:val="0"/>
      <w:divBdr>
        <w:top w:val="none" w:sz="0" w:space="0" w:color="auto"/>
        <w:left w:val="none" w:sz="0" w:space="0" w:color="auto"/>
        <w:bottom w:val="none" w:sz="0" w:space="0" w:color="auto"/>
        <w:right w:val="none" w:sz="0" w:space="0" w:color="auto"/>
      </w:divBdr>
    </w:div>
    <w:div w:id="1759012092">
      <w:bodyDiv w:val="1"/>
      <w:marLeft w:val="0"/>
      <w:marRight w:val="0"/>
      <w:marTop w:val="0"/>
      <w:marBottom w:val="0"/>
      <w:divBdr>
        <w:top w:val="none" w:sz="0" w:space="0" w:color="auto"/>
        <w:left w:val="none" w:sz="0" w:space="0" w:color="auto"/>
        <w:bottom w:val="none" w:sz="0" w:space="0" w:color="auto"/>
        <w:right w:val="none" w:sz="0" w:space="0" w:color="auto"/>
      </w:divBdr>
    </w:div>
    <w:div w:id="1759279983">
      <w:bodyDiv w:val="1"/>
      <w:marLeft w:val="0"/>
      <w:marRight w:val="0"/>
      <w:marTop w:val="0"/>
      <w:marBottom w:val="0"/>
      <w:divBdr>
        <w:top w:val="none" w:sz="0" w:space="0" w:color="auto"/>
        <w:left w:val="none" w:sz="0" w:space="0" w:color="auto"/>
        <w:bottom w:val="none" w:sz="0" w:space="0" w:color="auto"/>
        <w:right w:val="none" w:sz="0" w:space="0" w:color="auto"/>
      </w:divBdr>
    </w:div>
    <w:div w:id="1759907195">
      <w:bodyDiv w:val="1"/>
      <w:marLeft w:val="0"/>
      <w:marRight w:val="0"/>
      <w:marTop w:val="0"/>
      <w:marBottom w:val="0"/>
      <w:divBdr>
        <w:top w:val="none" w:sz="0" w:space="0" w:color="auto"/>
        <w:left w:val="none" w:sz="0" w:space="0" w:color="auto"/>
        <w:bottom w:val="none" w:sz="0" w:space="0" w:color="auto"/>
        <w:right w:val="none" w:sz="0" w:space="0" w:color="auto"/>
      </w:divBdr>
    </w:div>
    <w:div w:id="1760786207">
      <w:bodyDiv w:val="1"/>
      <w:marLeft w:val="0"/>
      <w:marRight w:val="0"/>
      <w:marTop w:val="0"/>
      <w:marBottom w:val="0"/>
      <w:divBdr>
        <w:top w:val="none" w:sz="0" w:space="0" w:color="auto"/>
        <w:left w:val="none" w:sz="0" w:space="0" w:color="auto"/>
        <w:bottom w:val="none" w:sz="0" w:space="0" w:color="auto"/>
        <w:right w:val="none" w:sz="0" w:space="0" w:color="auto"/>
      </w:divBdr>
    </w:div>
    <w:div w:id="1760903693">
      <w:bodyDiv w:val="1"/>
      <w:marLeft w:val="0"/>
      <w:marRight w:val="0"/>
      <w:marTop w:val="0"/>
      <w:marBottom w:val="0"/>
      <w:divBdr>
        <w:top w:val="none" w:sz="0" w:space="0" w:color="auto"/>
        <w:left w:val="none" w:sz="0" w:space="0" w:color="auto"/>
        <w:bottom w:val="none" w:sz="0" w:space="0" w:color="auto"/>
        <w:right w:val="none" w:sz="0" w:space="0" w:color="auto"/>
      </w:divBdr>
    </w:div>
    <w:div w:id="1767843094">
      <w:bodyDiv w:val="1"/>
      <w:marLeft w:val="0"/>
      <w:marRight w:val="0"/>
      <w:marTop w:val="0"/>
      <w:marBottom w:val="0"/>
      <w:divBdr>
        <w:top w:val="none" w:sz="0" w:space="0" w:color="auto"/>
        <w:left w:val="none" w:sz="0" w:space="0" w:color="auto"/>
        <w:bottom w:val="none" w:sz="0" w:space="0" w:color="auto"/>
        <w:right w:val="none" w:sz="0" w:space="0" w:color="auto"/>
      </w:divBdr>
    </w:div>
    <w:div w:id="1769886237">
      <w:bodyDiv w:val="1"/>
      <w:marLeft w:val="0"/>
      <w:marRight w:val="0"/>
      <w:marTop w:val="0"/>
      <w:marBottom w:val="0"/>
      <w:divBdr>
        <w:top w:val="none" w:sz="0" w:space="0" w:color="auto"/>
        <w:left w:val="none" w:sz="0" w:space="0" w:color="auto"/>
        <w:bottom w:val="none" w:sz="0" w:space="0" w:color="auto"/>
        <w:right w:val="none" w:sz="0" w:space="0" w:color="auto"/>
      </w:divBdr>
    </w:div>
    <w:div w:id="1773938788">
      <w:bodyDiv w:val="1"/>
      <w:marLeft w:val="0"/>
      <w:marRight w:val="0"/>
      <w:marTop w:val="0"/>
      <w:marBottom w:val="0"/>
      <w:divBdr>
        <w:top w:val="none" w:sz="0" w:space="0" w:color="auto"/>
        <w:left w:val="none" w:sz="0" w:space="0" w:color="auto"/>
        <w:bottom w:val="none" w:sz="0" w:space="0" w:color="auto"/>
        <w:right w:val="none" w:sz="0" w:space="0" w:color="auto"/>
      </w:divBdr>
    </w:div>
    <w:div w:id="1780905325">
      <w:bodyDiv w:val="1"/>
      <w:marLeft w:val="0"/>
      <w:marRight w:val="0"/>
      <w:marTop w:val="0"/>
      <w:marBottom w:val="0"/>
      <w:divBdr>
        <w:top w:val="none" w:sz="0" w:space="0" w:color="auto"/>
        <w:left w:val="none" w:sz="0" w:space="0" w:color="auto"/>
        <w:bottom w:val="none" w:sz="0" w:space="0" w:color="auto"/>
        <w:right w:val="none" w:sz="0" w:space="0" w:color="auto"/>
      </w:divBdr>
      <w:divsChild>
        <w:div w:id="1031221888">
          <w:marLeft w:val="0"/>
          <w:marRight w:val="0"/>
          <w:marTop w:val="90"/>
          <w:marBottom w:val="90"/>
          <w:divBdr>
            <w:top w:val="none" w:sz="0" w:space="0" w:color="auto"/>
            <w:left w:val="none" w:sz="0" w:space="0" w:color="auto"/>
            <w:bottom w:val="none" w:sz="0" w:space="0" w:color="auto"/>
            <w:right w:val="none" w:sz="0" w:space="0" w:color="auto"/>
          </w:divBdr>
        </w:div>
      </w:divsChild>
    </w:div>
    <w:div w:id="1783261939">
      <w:bodyDiv w:val="1"/>
      <w:marLeft w:val="0"/>
      <w:marRight w:val="0"/>
      <w:marTop w:val="0"/>
      <w:marBottom w:val="0"/>
      <w:divBdr>
        <w:top w:val="none" w:sz="0" w:space="0" w:color="auto"/>
        <w:left w:val="none" w:sz="0" w:space="0" w:color="auto"/>
        <w:bottom w:val="none" w:sz="0" w:space="0" w:color="auto"/>
        <w:right w:val="none" w:sz="0" w:space="0" w:color="auto"/>
      </w:divBdr>
    </w:div>
    <w:div w:id="1788353690">
      <w:bodyDiv w:val="1"/>
      <w:marLeft w:val="0"/>
      <w:marRight w:val="0"/>
      <w:marTop w:val="0"/>
      <w:marBottom w:val="0"/>
      <w:divBdr>
        <w:top w:val="none" w:sz="0" w:space="0" w:color="auto"/>
        <w:left w:val="none" w:sz="0" w:space="0" w:color="auto"/>
        <w:bottom w:val="none" w:sz="0" w:space="0" w:color="auto"/>
        <w:right w:val="none" w:sz="0" w:space="0" w:color="auto"/>
      </w:divBdr>
    </w:div>
    <w:div w:id="1793555735">
      <w:bodyDiv w:val="1"/>
      <w:marLeft w:val="0"/>
      <w:marRight w:val="0"/>
      <w:marTop w:val="0"/>
      <w:marBottom w:val="0"/>
      <w:divBdr>
        <w:top w:val="none" w:sz="0" w:space="0" w:color="auto"/>
        <w:left w:val="none" w:sz="0" w:space="0" w:color="auto"/>
        <w:bottom w:val="none" w:sz="0" w:space="0" w:color="auto"/>
        <w:right w:val="none" w:sz="0" w:space="0" w:color="auto"/>
      </w:divBdr>
    </w:div>
    <w:div w:id="1796482788">
      <w:bodyDiv w:val="1"/>
      <w:marLeft w:val="0"/>
      <w:marRight w:val="0"/>
      <w:marTop w:val="0"/>
      <w:marBottom w:val="0"/>
      <w:divBdr>
        <w:top w:val="none" w:sz="0" w:space="0" w:color="auto"/>
        <w:left w:val="none" w:sz="0" w:space="0" w:color="auto"/>
        <w:bottom w:val="none" w:sz="0" w:space="0" w:color="auto"/>
        <w:right w:val="none" w:sz="0" w:space="0" w:color="auto"/>
      </w:divBdr>
    </w:div>
    <w:div w:id="1802654905">
      <w:bodyDiv w:val="1"/>
      <w:marLeft w:val="0"/>
      <w:marRight w:val="0"/>
      <w:marTop w:val="0"/>
      <w:marBottom w:val="0"/>
      <w:divBdr>
        <w:top w:val="none" w:sz="0" w:space="0" w:color="auto"/>
        <w:left w:val="none" w:sz="0" w:space="0" w:color="auto"/>
        <w:bottom w:val="none" w:sz="0" w:space="0" w:color="auto"/>
        <w:right w:val="none" w:sz="0" w:space="0" w:color="auto"/>
      </w:divBdr>
    </w:div>
    <w:div w:id="1803307824">
      <w:bodyDiv w:val="1"/>
      <w:marLeft w:val="0"/>
      <w:marRight w:val="0"/>
      <w:marTop w:val="0"/>
      <w:marBottom w:val="0"/>
      <w:divBdr>
        <w:top w:val="none" w:sz="0" w:space="0" w:color="auto"/>
        <w:left w:val="none" w:sz="0" w:space="0" w:color="auto"/>
        <w:bottom w:val="none" w:sz="0" w:space="0" w:color="auto"/>
        <w:right w:val="none" w:sz="0" w:space="0" w:color="auto"/>
      </w:divBdr>
    </w:div>
    <w:div w:id="1808014888">
      <w:bodyDiv w:val="1"/>
      <w:marLeft w:val="0"/>
      <w:marRight w:val="0"/>
      <w:marTop w:val="0"/>
      <w:marBottom w:val="0"/>
      <w:divBdr>
        <w:top w:val="none" w:sz="0" w:space="0" w:color="auto"/>
        <w:left w:val="none" w:sz="0" w:space="0" w:color="auto"/>
        <w:bottom w:val="none" w:sz="0" w:space="0" w:color="auto"/>
        <w:right w:val="none" w:sz="0" w:space="0" w:color="auto"/>
      </w:divBdr>
    </w:div>
    <w:div w:id="1814978502">
      <w:bodyDiv w:val="1"/>
      <w:marLeft w:val="0"/>
      <w:marRight w:val="0"/>
      <w:marTop w:val="0"/>
      <w:marBottom w:val="0"/>
      <w:divBdr>
        <w:top w:val="none" w:sz="0" w:space="0" w:color="auto"/>
        <w:left w:val="none" w:sz="0" w:space="0" w:color="auto"/>
        <w:bottom w:val="none" w:sz="0" w:space="0" w:color="auto"/>
        <w:right w:val="none" w:sz="0" w:space="0" w:color="auto"/>
      </w:divBdr>
    </w:div>
    <w:div w:id="1819222699">
      <w:bodyDiv w:val="1"/>
      <w:marLeft w:val="0"/>
      <w:marRight w:val="0"/>
      <w:marTop w:val="0"/>
      <w:marBottom w:val="0"/>
      <w:divBdr>
        <w:top w:val="none" w:sz="0" w:space="0" w:color="auto"/>
        <w:left w:val="none" w:sz="0" w:space="0" w:color="auto"/>
        <w:bottom w:val="none" w:sz="0" w:space="0" w:color="auto"/>
        <w:right w:val="none" w:sz="0" w:space="0" w:color="auto"/>
      </w:divBdr>
    </w:div>
    <w:div w:id="1819686185">
      <w:bodyDiv w:val="1"/>
      <w:marLeft w:val="0"/>
      <w:marRight w:val="0"/>
      <w:marTop w:val="0"/>
      <w:marBottom w:val="0"/>
      <w:divBdr>
        <w:top w:val="none" w:sz="0" w:space="0" w:color="auto"/>
        <w:left w:val="none" w:sz="0" w:space="0" w:color="auto"/>
        <w:bottom w:val="none" w:sz="0" w:space="0" w:color="auto"/>
        <w:right w:val="none" w:sz="0" w:space="0" w:color="auto"/>
      </w:divBdr>
    </w:div>
    <w:div w:id="1826623534">
      <w:bodyDiv w:val="1"/>
      <w:marLeft w:val="0"/>
      <w:marRight w:val="0"/>
      <w:marTop w:val="0"/>
      <w:marBottom w:val="0"/>
      <w:divBdr>
        <w:top w:val="none" w:sz="0" w:space="0" w:color="auto"/>
        <w:left w:val="none" w:sz="0" w:space="0" w:color="auto"/>
        <w:bottom w:val="none" w:sz="0" w:space="0" w:color="auto"/>
        <w:right w:val="none" w:sz="0" w:space="0" w:color="auto"/>
      </w:divBdr>
    </w:div>
    <w:div w:id="1829323018">
      <w:bodyDiv w:val="1"/>
      <w:marLeft w:val="0"/>
      <w:marRight w:val="0"/>
      <w:marTop w:val="0"/>
      <w:marBottom w:val="0"/>
      <w:divBdr>
        <w:top w:val="none" w:sz="0" w:space="0" w:color="auto"/>
        <w:left w:val="none" w:sz="0" w:space="0" w:color="auto"/>
        <w:bottom w:val="none" w:sz="0" w:space="0" w:color="auto"/>
        <w:right w:val="none" w:sz="0" w:space="0" w:color="auto"/>
      </w:divBdr>
    </w:div>
    <w:div w:id="1832136037">
      <w:bodyDiv w:val="1"/>
      <w:marLeft w:val="0"/>
      <w:marRight w:val="0"/>
      <w:marTop w:val="0"/>
      <w:marBottom w:val="0"/>
      <w:divBdr>
        <w:top w:val="none" w:sz="0" w:space="0" w:color="auto"/>
        <w:left w:val="none" w:sz="0" w:space="0" w:color="auto"/>
        <w:bottom w:val="none" w:sz="0" w:space="0" w:color="auto"/>
        <w:right w:val="none" w:sz="0" w:space="0" w:color="auto"/>
      </w:divBdr>
      <w:divsChild>
        <w:div w:id="1865823061">
          <w:marLeft w:val="0"/>
          <w:marRight w:val="0"/>
          <w:marTop w:val="0"/>
          <w:marBottom w:val="0"/>
          <w:divBdr>
            <w:top w:val="none" w:sz="0" w:space="0" w:color="auto"/>
            <w:left w:val="none" w:sz="0" w:space="0" w:color="auto"/>
            <w:bottom w:val="none" w:sz="0" w:space="0" w:color="auto"/>
            <w:right w:val="none" w:sz="0" w:space="0" w:color="auto"/>
          </w:divBdr>
        </w:div>
      </w:divsChild>
    </w:div>
    <w:div w:id="1832721040">
      <w:bodyDiv w:val="1"/>
      <w:marLeft w:val="0"/>
      <w:marRight w:val="0"/>
      <w:marTop w:val="0"/>
      <w:marBottom w:val="0"/>
      <w:divBdr>
        <w:top w:val="none" w:sz="0" w:space="0" w:color="auto"/>
        <w:left w:val="none" w:sz="0" w:space="0" w:color="auto"/>
        <w:bottom w:val="none" w:sz="0" w:space="0" w:color="auto"/>
        <w:right w:val="none" w:sz="0" w:space="0" w:color="auto"/>
      </w:divBdr>
    </w:div>
    <w:div w:id="1836528667">
      <w:bodyDiv w:val="1"/>
      <w:marLeft w:val="0"/>
      <w:marRight w:val="0"/>
      <w:marTop w:val="0"/>
      <w:marBottom w:val="0"/>
      <w:divBdr>
        <w:top w:val="none" w:sz="0" w:space="0" w:color="auto"/>
        <w:left w:val="none" w:sz="0" w:space="0" w:color="auto"/>
        <w:bottom w:val="none" w:sz="0" w:space="0" w:color="auto"/>
        <w:right w:val="none" w:sz="0" w:space="0" w:color="auto"/>
      </w:divBdr>
    </w:div>
    <w:div w:id="1838685800">
      <w:bodyDiv w:val="1"/>
      <w:marLeft w:val="0"/>
      <w:marRight w:val="0"/>
      <w:marTop w:val="0"/>
      <w:marBottom w:val="0"/>
      <w:divBdr>
        <w:top w:val="none" w:sz="0" w:space="0" w:color="auto"/>
        <w:left w:val="none" w:sz="0" w:space="0" w:color="auto"/>
        <w:bottom w:val="none" w:sz="0" w:space="0" w:color="auto"/>
        <w:right w:val="none" w:sz="0" w:space="0" w:color="auto"/>
      </w:divBdr>
    </w:div>
    <w:div w:id="1842240013">
      <w:bodyDiv w:val="1"/>
      <w:marLeft w:val="0"/>
      <w:marRight w:val="0"/>
      <w:marTop w:val="0"/>
      <w:marBottom w:val="0"/>
      <w:divBdr>
        <w:top w:val="none" w:sz="0" w:space="0" w:color="auto"/>
        <w:left w:val="none" w:sz="0" w:space="0" w:color="auto"/>
        <w:bottom w:val="none" w:sz="0" w:space="0" w:color="auto"/>
        <w:right w:val="none" w:sz="0" w:space="0" w:color="auto"/>
      </w:divBdr>
    </w:div>
    <w:div w:id="1842625048">
      <w:bodyDiv w:val="1"/>
      <w:marLeft w:val="0"/>
      <w:marRight w:val="0"/>
      <w:marTop w:val="0"/>
      <w:marBottom w:val="0"/>
      <w:divBdr>
        <w:top w:val="none" w:sz="0" w:space="0" w:color="auto"/>
        <w:left w:val="none" w:sz="0" w:space="0" w:color="auto"/>
        <w:bottom w:val="none" w:sz="0" w:space="0" w:color="auto"/>
        <w:right w:val="none" w:sz="0" w:space="0" w:color="auto"/>
      </w:divBdr>
    </w:div>
    <w:div w:id="1844978814">
      <w:bodyDiv w:val="1"/>
      <w:marLeft w:val="0"/>
      <w:marRight w:val="0"/>
      <w:marTop w:val="0"/>
      <w:marBottom w:val="0"/>
      <w:divBdr>
        <w:top w:val="none" w:sz="0" w:space="0" w:color="auto"/>
        <w:left w:val="none" w:sz="0" w:space="0" w:color="auto"/>
        <w:bottom w:val="none" w:sz="0" w:space="0" w:color="auto"/>
        <w:right w:val="none" w:sz="0" w:space="0" w:color="auto"/>
      </w:divBdr>
    </w:div>
    <w:div w:id="1850024885">
      <w:bodyDiv w:val="1"/>
      <w:marLeft w:val="0"/>
      <w:marRight w:val="0"/>
      <w:marTop w:val="0"/>
      <w:marBottom w:val="0"/>
      <w:divBdr>
        <w:top w:val="none" w:sz="0" w:space="0" w:color="auto"/>
        <w:left w:val="none" w:sz="0" w:space="0" w:color="auto"/>
        <w:bottom w:val="none" w:sz="0" w:space="0" w:color="auto"/>
        <w:right w:val="none" w:sz="0" w:space="0" w:color="auto"/>
      </w:divBdr>
    </w:div>
    <w:div w:id="1857621784">
      <w:bodyDiv w:val="1"/>
      <w:marLeft w:val="0"/>
      <w:marRight w:val="0"/>
      <w:marTop w:val="0"/>
      <w:marBottom w:val="0"/>
      <w:divBdr>
        <w:top w:val="none" w:sz="0" w:space="0" w:color="auto"/>
        <w:left w:val="none" w:sz="0" w:space="0" w:color="auto"/>
        <w:bottom w:val="none" w:sz="0" w:space="0" w:color="auto"/>
        <w:right w:val="none" w:sz="0" w:space="0" w:color="auto"/>
      </w:divBdr>
    </w:div>
    <w:div w:id="1864855918">
      <w:bodyDiv w:val="1"/>
      <w:marLeft w:val="0"/>
      <w:marRight w:val="0"/>
      <w:marTop w:val="0"/>
      <w:marBottom w:val="0"/>
      <w:divBdr>
        <w:top w:val="none" w:sz="0" w:space="0" w:color="auto"/>
        <w:left w:val="none" w:sz="0" w:space="0" w:color="auto"/>
        <w:bottom w:val="none" w:sz="0" w:space="0" w:color="auto"/>
        <w:right w:val="none" w:sz="0" w:space="0" w:color="auto"/>
      </w:divBdr>
    </w:div>
    <w:div w:id="1865439392">
      <w:bodyDiv w:val="1"/>
      <w:marLeft w:val="0"/>
      <w:marRight w:val="0"/>
      <w:marTop w:val="0"/>
      <w:marBottom w:val="0"/>
      <w:divBdr>
        <w:top w:val="none" w:sz="0" w:space="0" w:color="auto"/>
        <w:left w:val="none" w:sz="0" w:space="0" w:color="auto"/>
        <w:bottom w:val="none" w:sz="0" w:space="0" w:color="auto"/>
        <w:right w:val="none" w:sz="0" w:space="0" w:color="auto"/>
      </w:divBdr>
    </w:div>
    <w:div w:id="1866215696">
      <w:bodyDiv w:val="1"/>
      <w:marLeft w:val="0"/>
      <w:marRight w:val="0"/>
      <w:marTop w:val="0"/>
      <w:marBottom w:val="0"/>
      <w:divBdr>
        <w:top w:val="none" w:sz="0" w:space="0" w:color="auto"/>
        <w:left w:val="none" w:sz="0" w:space="0" w:color="auto"/>
        <w:bottom w:val="none" w:sz="0" w:space="0" w:color="auto"/>
        <w:right w:val="none" w:sz="0" w:space="0" w:color="auto"/>
      </w:divBdr>
    </w:div>
    <w:div w:id="1866870820">
      <w:bodyDiv w:val="1"/>
      <w:marLeft w:val="0"/>
      <w:marRight w:val="0"/>
      <w:marTop w:val="0"/>
      <w:marBottom w:val="0"/>
      <w:divBdr>
        <w:top w:val="none" w:sz="0" w:space="0" w:color="auto"/>
        <w:left w:val="none" w:sz="0" w:space="0" w:color="auto"/>
        <w:bottom w:val="none" w:sz="0" w:space="0" w:color="auto"/>
        <w:right w:val="none" w:sz="0" w:space="0" w:color="auto"/>
      </w:divBdr>
    </w:div>
    <w:div w:id="1878543321">
      <w:bodyDiv w:val="1"/>
      <w:marLeft w:val="0"/>
      <w:marRight w:val="0"/>
      <w:marTop w:val="0"/>
      <w:marBottom w:val="0"/>
      <w:divBdr>
        <w:top w:val="none" w:sz="0" w:space="0" w:color="auto"/>
        <w:left w:val="none" w:sz="0" w:space="0" w:color="auto"/>
        <w:bottom w:val="none" w:sz="0" w:space="0" w:color="auto"/>
        <w:right w:val="none" w:sz="0" w:space="0" w:color="auto"/>
      </w:divBdr>
    </w:div>
    <w:div w:id="1880169182">
      <w:bodyDiv w:val="1"/>
      <w:marLeft w:val="0"/>
      <w:marRight w:val="0"/>
      <w:marTop w:val="0"/>
      <w:marBottom w:val="0"/>
      <w:divBdr>
        <w:top w:val="none" w:sz="0" w:space="0" w:color="auto"/>
        <w:left w:val="none" w:sz="0" w:space="0" w:color="auto"/>
        <w:bottom w:val="none" w:sz="0" w:space="0" w:color="auto"/>
        <w:right w:val="none" w:sz="0" w:space="0" w:color="auto"/>
      </w:divBdr>
    </w:div>
    <w:div w:id="1882664284">
      <w:bodyDiv w:val="1"/>
      <w:marLeft w:val="0"/>
      <w:marRight w:val="0"/>
      <w:marTop w:val="0"/>
      <w:marBottom w:val="0"/>
      <w:divBdr>
        <w:top w:val="none" w:sz="0" w:space="0" w:color="auto"/>
        <w:left w:val="none" w:sz="0" w:space="0" w:color="auto"/>
        <w:bottom w:val="none" w:sz="0" w:space="0" w:color="auto"/>
        <w:right w:val="none" w:sz="0" w:space="0" w:color="auto"/>
      </w:divBdr>
    </w:div>
    <w:div w:id="1886287251">
      <w:bodyDiv w:val="1"/>
      <w:marLeft w:val="0"/>
      <w:marRight w:val="0"/>
      <w:marTop w:val="0"/>
      <w:marBottom w:val="0"/>
      <w:divBdr>
        <w:top w:val="none" w:sz="0" w:space="0" w:color="auto"/>
        <w:left w:val="none" w:sz="0" w:space="0" w:color="auto"/>
        <w:bottom w:val="none" w:sz="0" w:space="0" w:color="auto"/>
        <w:right w:val="none" w:sz="0" w:space="0" w:color="auto"/>
      </w:divBdr>
    </w:div>
    <w:div w:id="1887258421">
      <w:bodyDiv w:val="1"/>
      <w:marLeft w:val="0"/>
      <w:marRight w:val="0"/>
      <w:marTop w:val="0"/>
      <w:marBottom w:val="0"/>
      <w:divBdr>
        <w:top w:val="none" w:sz="0" w:space="0" w:color="auto"/>
        <w:left w:val="none" w:sz="0" w:space="0" w:color="auto"/>
        <w:bottom w:val="none" w:sz="0" w:space="0" w:color="auto"/>
        <w:right w:val="none" w:sz="0" w:space="0" w:color="auto"/>
      </w:divBdr>
    </w:div>
    <w:div w:id="1894654888">
      <w:bodyDiv w:val="1"/>
      <w:marLeft w:val="0"/>
      <w:marRight w:val="0"/>
      <w:marTop w:val="0"/>
      <w:marBottom w:val="0"/>
      <w:divBdr>
        <w:top w:val="none" w:sz="0" w:space="0" w:color="auto"/>
        <w:left w:val="none" w:sz="0" w:space="0" w:color="auto"/>
        <w:bottom w:val="none" w:sz="0" w:space="0" w:color="auto"/>
        <w:right w:val="none" w:sz="0" w:space="0" w:color="auto"/>
      </w:divBdr>
    </w:div>
    <w:div w:id="1895004069">
      <w:bodyDiv w:val="1"/>
      <w:marLeft w:val="0"/>
      <w:marRight w:val="0"/>
      <w:marTop w:val="0"/>
      <w:marBottom w:val="0"/>
      <w:divBdr>
        <w:top w:val="none" w:sz="0" w:space="0" w:color="auto"/>
        <w:left w:val="none" w:sz="0" w:space="0" w:color="auto"/>
        <w:bottom w:val="none" w:sz="0" w:space="0" w:color="auto"/>
        <w:right w:val="none" w:sz="0" w:space="0" w:color="auto"/>
      </w:divBdr>
    </w:div>
    <w:div w:id="1896695105">
      <w:bodyDiv w:val="1"/>
      <w:marLeft w:val="0"/>
      <w:marRight w:val="0"/>
      <w:marTop w:val="0"/>
      <w:marBottom w:val="0"/>
      <w:divBdr>
        <w:top w:val="none" w:sz="0" w:space="0" w:color="auto"/>
        <w:left w:val="none" w:sz="0" w:space="0" w:color="auto"/>
        <w:bottom w:val="none" w:sz="0" w:space="0" w:color="auto"/>
        <w:right w:val="none" w:sz="0" w:space="0" w:color="auto"/>
      </w:divBdr>
    </w:div>
    <w:div w:id="1900094284">
      <w:bodyDiv w:val="1"/>
      <w:marLeft w:val="0"/>
      <w:marRight w:val="0"/>
      <w:marTop w:val="0"/>
      <w:marBottom w:val="0"/>
      <w:divBdr>
        <w:top w:val="none" w:sz="0" w:space="0" w:color="auto"/>
        <w:left w:val="none" w:sz="0" w:space="0" w:color="auto"/>
        <w:bottom w:val="none" w:sz="0" w:space="0" w:color="auto"/>
        <w:right w:val="none" w:sz="0" w:space="0" w:color="auto"/>
      </w:divBdr>
    </w:div>
    <w:div w:id="1907111017">
      <w:bodyDiv w:val="1"/>
      <w:marLeft w:val="0"/>
      <w:marRight w:val="0"/>
      <w:marTop w:val="0"/>
      <w:marBottom w:val="0"/>
      <w:divBdr>
        <w:top w:val="none" w:sz="0" w:space="0" w:color="auto"/>
        <w:left w:val="none" w:sz="0" w:space="0" w:color="auto"/>
        <w:bottom w:val="none" w:sz="0" w:space="0" w:color="auto"/>
        <w:right w:val="none" w:sz="0" w:space="0" w:color="auto"/>
      </w:divBdr>
    </w:div>
    <w:div w:id="1907955693">
      <w:bodyDiv w:val="1"/>
      <w:marLeft w:val="0"/>
      <w:marRight w:val="0"/>
      <w:marTop w:val="0"/>
      <w:marBottom w:val="0"/>
      <w:divBdr>
        <w:top w:val="none" w:sz="0" w:space="0" w:color="auto"/>
        <w:left w:val="none" w:sz="0" w:space="0" w:color="auto"/>
        <w:bottom w:val="none" w:sz="0" w:space="0" w:color="auto"/>
        <w:right w:val="none" w:sz="0" w:space="0" w:color="auto"/>
      </w:divBdr>
    </w:div>
    <w:div w:id="1919096531">
      <w:bodyDiv w:val="1"/>
      <w:marLeft w:val="0"/>
      <w:marRight w:val="0"/>
      <w:marTop w:val="0"/>
      <w:marBottom w:val="0"/>
      <w:divBdr>
        <w:top w:val="none" w:sz="0" w:space="0" w:color="auto"/>
        <w:left w:val="none" w:sz="0" w:space="0" w:color="auto"/>
        <w:bottom w:val="none" w:sz="0" w:space="0" w:color="auto"/>
        <w:right w:val="none" w:sz="0" w:space="0" w:color="auto"/>
      </w:divBdr>
    </w:div>
    <w:div w:id="1919512044">
      <w:bodyDiv w:val="1"/>
      <w:marLeft w:val="0"/>
      <w:marRight w:val="0"/>
      <w:marTop w:val="0"/>
      <w:marBottom w:val="0"/>
      <w:divBdr>
        <w:top w:val="none" w:sz="0" w:space="0" w:color="auto"/>
        <w:left w:val="none" w:sz="0" w:space="0" w:color="auto"/>
        <w:bottom w:val="none" w:sz="0" w:space="0" w:color="auto"/>
        <w:right w:val="none" w:sz="0" w:space="0" w:color="auto"/>
      </w:divBdr>
    </w:div>
    <w:div w:id="1921676770">
      <w:bodyDiv w:val="1"/>
      <w:marLeft w:val="0"/>
      <w:marRight w:val="0"/>
      <w:marTop w:val="0"/>
      <w:marBottom w:val="0"/>
      <w:divBdr>
        <w:top w:val="none" w:sz="0" w:space="0" w:color="auto"/>
        <w:left w:val="none" w:sz="0" w:space="0" w:color="auto"/>
        <w:bottom w:val="none" w:sz="0" w:space="0" w:color="auto"/>
        <w:right w:val="none" w:sz="0" w:space="0" w:color="auto"/>
      </w:divBdr>
    </w:div>
    <w:div w:id="1928805618">
      <w:bodyDiv w:val="1"/>
      <w:marLeft w:val="0"/>
      <w:marRight w:val="0"/>
      <w:marTop w:val="0"/>
      <w:marBottom w:val="0"/>
      <w:divBdr>
        <w:top w:val="none" w:sz="0" w:space="0" w:color="auto"/>
        <w:left w:val="none" w:sz="0" w:space="0" w:color="auto"/>
        <w:bottom w:val="none" w:sz="0" w:space="0" w:color="auto"/>
        <w:right w:val="none" w:sz="0" w:space="0" w:color="auto"/>
      </w:divBdr>
    </w:div>
    <w:div w:id="1937902035">
      <w:bodyDiv w:val="1"/>
      <w:marLeft w:val="0"/>
      <w:marRight w:val="0"/>
      <w:marTop w:val="0"/>
      <w:marBottom w:val="0"/>
      <w:divBdr>
        <w:top w:val="none" w:sz="0" w:space="0" w:color="auto"/>
        <w:left w:val="none" w:sz="0" w:space="0" w:color="auto"/>
        <w:bottom w:val="none" w:sz="0" w:space="0" w:color="auto"/>
        <w:right w:val="none" w:sz="0" w:space="0" w:color="auto"/>
      </w:divBdr>
    </w:div>
    <w:div w:id="1939824694">
      <w:bodyDiv w:val="1"/>
      <w:marLeft w:val="0"/>
      <w:marRight w:val="0"/>
      <w:marTop w:val="0"/>
      <w:marBottom w:val="0"/>
      <w:divBdr>
        <w:top w:val="none" w:sz="0" w:space="0" w:color="auto"/>
        <w:left w:val="none" w:sz="0" w:space="0" w:color="auto"/>
        <w:bottom w:val="none" w:sz="0" w:space="0" w:color="auto"/>
        <w:right w:val="none" w:sz="0" w:space="0" w:color="auto"/>
      </w:divBdr>
    </w:div>
    <w:div w:id="1939949455">
      <w:bodyDiv w:val="1"/>
      <w:marLeft w:val="0"/>
      <w:marRight w:val="0"/>
      <w:marTop w:val="0"/>
      <w:marBottom w:val="0"/>
      <w:divBdr>
        <w:top w:val="none" w:sz="0" w:space="0" w:color="auto"/>
        <w:left w:val="none" w:sz="0" w:space="0" w:color="auto"/>
        <w:bottom w:val="none" w:sz="0" w:space="0" w:color="auto"/>
        <w:right w:val="none" w:sz="0" w:space="0" w:color="auto"/>
      </w:divBdr>
    </w:div>
    <w:div w:id="1940991555">
      <w:bodyDiv w:val="1"/>
      <w:marLeft w:val="0"/>
      <w:marRight w:val="0"/>
      <w:marTop w:val="0"/>
      <w:marBottom w:val="0"/>
      <w:divBdr>
        <w:top w:val="none" w:sz="0" w:space="0" w:color="auto"/>
        <w:left w:val="none" w:sz="0" w:space="0" w:color="auto"/>
        <w:bottom w:val="none" w:sz="0" w:space="0" w:color="auto"/>
        <w:right w:val="none" w:sz="0" w:space="0" w:color="auto"/>
      </w:divBdr>
    </w:div>
    <w:div w:id="1953437187">
      <w:bodyDiv w:val="1"/>
      <w:marLeft w:val="0"/>
      <w:marRight w:val="0"/>
      <w:marTop w:val="0"/>
      <w:marBottom w:val="0"/>
      <w:divBdr>
        <w:top w:val="none" w:sz="0" w:space="0" w:color="auto"/>
        <w:left w:val="none" w:sz="0" w:space="0" w:color="auto"/>
        <w:bottom w:val="none" w:sz="0" w:space="0" w:color="auto"/>
        <w:right w:val="none" w:sz="0" w:space="0" w:color="auto"/>
      </w:divBdr>
    </w:div>
    <w:div w:id="1953591354">
      <w:bodyDiv w:val="1"/>
      <w:marLeft w:val="0"/>
      <w:marRight w:val="0"/>
      <w:marTop w:val="0"/>
      <w:marBottom w:val="0"/>
      <w:divBdr>
        <w:top w:val="none" w:sz="0" w:space="0" w:color="auto"/>
        <w:left w:val="none" w:sz="0" w:space="0" w:color="auto"/>
        <w:bottom w:val="none" w:sz="0" w:space="0" w:color="auto"/>
        <w:right w:val="none" w:sz="0" w:space="0" w:color="auto"/>
      </w:divBdr>
    </w:div>
    <w:div w:id="1959070649">
      <w:bodyDiv w:val="1"/>
      <w:marLeft w:val="0"/>
      <w:marRight w:val="0"/>
      <w:marTop w:val="0"/>
      <w:marBottom w:val="0"/>
      <w:divBdr>
        <w:top w:val="none" w:sz="0" w:space="0" w:color="auto"/>
        <w:left w:val="none" w:sz="0" w:space="0" w:color="auto"/>
        <w:bottom w:val="none" w:sz="0" w:space="0" w:color="auto"/>
        <w:right w:val="none" w:sz="0" w:space="0" w:color="auto"/>
      </w:divBdr>
    </w:div>
    <w:div w:id="1959531581">
      <w:bodyDiv w:val="1"/>
      <w:marLeft w:val="0"/>
      <w:marRight w:val="0"/>
      <w:marTop w:val="0"/>
      <w:marBottom w:val="0"/>
      <w:divBdr>
        <w:top w:val="none" w:sz="0" w:space="0" w:color="auto"/>
        <w:left w:val="none" w:sz="0" w:space="0" w:color="auto"/>
        <w:bottom w:val="none" w:sz="0" w:space="0" w:color="auto"/>
        <w:right w:val="none" w:sz="0" w:space="0" w:color="auto"/>
      </w:divBdr>
    </w:div>
    <w:div w:id="1961454003">
      <w:bodyDiv w:val="1"/>
      <w:marLeft w:val="0"/>
      <w:marRight w:val="0"/>
      <w:marTop w:val="0"/>
      <w:marBottom w:val="0"/>
      <w:divBdr>
        <w:top w:val="none" w:sz="0" w:space="0" w:color="auto"/>
        <w:left w:val="none" w:sz="0" w:space="0" w:color="auto"/>
        <w:bottom w:val="none" w:sz="0" w:space="0" w:color="auto"/>
        <w:right w:val="none" w:sz="0" w:space="0" w:color="auto"/>
      </w:divBdr>
    </w:div>
    <w:div w:id="1962416842">
      <w:bodyDiv w:val="1"/>
      <w:marLeft w:val="0"/>
      <w:marRight w:val="0"/>
      <w:marTop w:val="0"/>
      <w:marBottom w:val="0"/>
      <w:divBdr>
        <w:top w:val="none" w:sz="0" w:space="0" w:color="auto"/>
        <w:left w:val="none" w:sz="0" w:space="0" w:color="auto"/>
        <w:bottom w:val="none" w:sz="0" w:space="0" w:color="auto"/>
        <w:right w:val="none" w:sz="0" w:space="0" w:color="auto"/>
      </w:divBdr>
    </w:div>
    <w:div w:id="1967815664">
      <w:bodyDiv w:val="1"/>
      <w:marLeft w:val="0"/>
      <w:marRight w:val="0"/>
      <w:marTop w:val="0"/>
      <w:marBottom w:val="0"/>
      <w:divBdr>
        <w:top w:val="none" w:sz="0" w:space="0" w:color="auto"/>
        <w:left w:val="none" w:sz="0" w:space="0" w:color="auto"/>
        <w:bottom w:val="none" w:sz="0" w:space="0" w:color="auto"/>
        <w:right w:val="none" w:sz="0" w:space="0" w:color="auto"/>
      </w:divBdr>
    </w:div>
    <w:div w:id="1970429478">
      <w:bodyDiv w:val="1"/>
      <w:marLeft w:val="0"/>
      <w:marRight w:val="0"/>
      <w:marTop w:val="0"/>
      <w:marBottom w:val="0"/>
      <w:divBdr>
        <w:top w:val="none" w:sz="0" w:space="0" w:color="auto"/>
        <w:left w:val="none" w:sz="0" w:space="0" w:color="auto"/>
        <w:bottom w:val="none" w:sz="0" w:space="0" w:color="auto"/>
        <w:right w:val="none" w:sz="0" w:space="0" w:color="auto"/>
      </w:divBdr>
    </w:div>
    <w:div w:id="1971475391">
      <w:bodyDiv w:val="1"/>
      <w:marLeft w:val="0"/>
      <w:marRight w:val="0"/>
      <w:marTop w:val="0"/>
      <w:marBottom w:val="0"/>
      <w:divBdr>
        <w:top w:val="none" w:sz="0" w:space="0" w:color="auto"/>
        <w:left w:val="none" w:sz="0" w:space="0" w:color="auto"/>
        <w:bottom w:val="none" w:sz="0" w:space="0" w:color="auto"/>
        <w:right w:val="none" w:sz="0" w:space="0" w:color="auto"/>
      </w:divBdr>
    </w:div>
    <w:div w:id="1972323028">
      <w:bodyDiv w:val="1"/>
      <w:marLeft w:val="0"/>
      <w:marRight w:val="0"/>
      <w:marTop w:val="0"/>
      <w:marBottom w:val="0"/>
      <w:divBdr>
        <w:top w:val="none" w:sz="0" w:space="0" w:color="auto"/>
        <w:left w:val="none" w:sz="0" w:space="0" w:color="auto"/>
        <w:bottom w:val="none" w:sz="0" w:space="0" w:color="auto"/>
        <w:right w:val="none" w:sz="0" w:space="0" w:color="auto"/>
      </w:divBdr>
    </w:div>
    <w:div w:id="1973822916">
      <w:bodyDiv w:val="1"/>
      <w:marLeft w:val="0"/>
      <w:marRight w:val="0"/>
      <w:marTop w:val="0"/>
      <w:marBottom w:val="0"/>
      <w:divBdr>
        <w:top w:val="none" w:sz="0" w:space="0" w:color="auto"/>
        <w:left w:val="none" w:sz="0" w:space="0" w:color="auto"/>
        <w:bottom w:val="none" w:sz="0" w:space="0" w:color="auto"/>
        <w:right w:val="none" w:sz="0" w:space="0" w:color="auto"/>
      </w:divBdr>
    </w:div>
    <w:div w:id="1978367398">
      <w:bodyDiv w:val="1"/>
      <w:marLeft w:val="0"/>
      <w:marRight w:val="0"/>
      <w:marTop w:val="0"/>
      <w:marBottom w:val="0"/>
      <w:divBdr>
        <w:top w:val="none" w:sz="0" w:space="0" w:color="auto"/>
        <w:left w:val="none" w:sz="0" w:space="0" w:color="auto"/>
        <w:bottom w:val="none" w:sz="0" w:space="0" w:color="auto"/>
        <w:right w:val="none" w:sz="0" w:space="0" w:color="auto"/>
      </w:divBdr>
    </w:div>
    <w:div w:id="1980651054">
      <w:bodyDiv w:val="1"/>
      <w:marLeft w:val="0"/>
      <w:marRight w:val="0"/>
      <w:marTop w:val="0"/>
      <w:marBottom w:val="0"/>
      <w:divBdr>
        <w:top w:val="none" w:sz="0" w:space="0" w:color="auto"/>
        <w:left w:val="none" w:sz="0" w:space="0" w:color="auto"/>
        <w:bottom w:val="none" w:sz="0" w:space="0" w:color="auto"/>
        <w:right w:val="none" w:sz="0" w:space="0" w:color="auto"/>
      </w:divBdr>
    </w:div>
    <w:div w:id="1984694938">
      <w:bodyDiv w:val="1"/>
      <w:marLeft w:val="0"/>
      <w:marRight w:val="0"/>
      <w:marTop w:val="0"/>
      <w:marBottom w:val="0"/>
      <w:divBdr>
        <w:top w:val="none" w:sz="0" w:space="0" w:color="auto"/>
        <w:left w:val="none" w:sz="0" w:space="0" w:color="auto"/>
        <w:bottom w:val="none" w:sz="0" w:space="0" w:color="auto"/>
        <w:right w:val="none" w:sz="0" w:space="0" w:color="auto"/>
      </w:divBdr>
    </w:div>
    <w:div w:id="1992324226">
      <w:bodyDiv w:val="1"/>
      <w:marLeft w:val="0"/>
      <w:marRight w:val="0"/>
      <w:marTop w:val="0"/>
      <w:marBottom w:val="0"/>
      <w:divBdr>
        <w:top w:val="none" w:sz="0" w:space="0" w:color="auto"/>
        <w:left w:val="none" w:sz="0" w:space="0" w:color="auto"/>
        <w:bottom w:val="none" w:sz="0" w:space="0" w:color="auto"/>
        <w:right w:val="none" w:sz="0" w:space="0" w:color="auto"/>
      </w:divBdr>
    </w:div>
    <w:div w:id="1994021250">
      <w:bodyDiv w:val="1"/>
      <w:marLeft w:val="0"/>
      <w:marRight w:val="0"/>
      <w:marTop w:val="0"/>
      <w:marBottom w:val="0"/>
      <w:divBdr>
        <w:top w:val="none" w:sz="0" w:space="0" w:color="auto"/>
        <w:left w:val="none" w:sz="0" w:space="0" w:color="auto"/>
        <w:bottom w:val="none" w:sz="0" w:space="0" w:color="auto"/>
        <w:right w:val="none" w:sz="0" w:space="0" w:color="auto"/>
      </w:divBdr>
    </w:div>
    <w:div w:id="1995067221">
      <w:bodyDiv w:val="1"/>
      <w:marLeft w:val="0"/>
      <w:marRight w:val="0"/>
      <w:marTop w:val="0"/>
      <w:marBottom w:val="0"/>
      <w:divBdr>
        <w:top w:val="none" w:sz="0" w:space="0" w:color="auto"/>
        <w:left w:val="none" w:sz="0" w:space="0" w:color="auto"/>
        <w:bottom w:val="none" w:sz="0" w:space="0" w:color="auto"/>
        <w:right w:val="none" w:sz="0" w:space="0" w:color="auto"/>
      </w:divBdr>
    </w:div>
    <w:div w:id="1998260586">
      <w:bodyDiv w:val="1"/>
      <w:marLeft w:val="0"/>
      <w:marRight w:val="0"/>
      <w:marTop w:val="0"/>
      <w:marBottom w:val="0"/>
      <w:divBdr>
        <w:top w:val="none" w:sz="0" w:space="0" w:color="auto"/>
        <w:left w:val="none" w:sz="0" w:space="0" w:color="auto"/>
        <w:bottom w:val="none" w:sz="0" w:space="0" w:color="auto"/>
        <w:right w:val="none" w:sz="0" w:space="0" w:color="auto"/>
      </w:divBdr>
    </w:div>
    <w:div w:id="2000034554">
      <w:bodyDiv w:val="1"/>
      <w:marLeft w:val="0"/>
      <w:marRight w:val="0"/>
      <w:marTop w:val="0"/>
      <w:marBottom w:val="0"/>
      <w:divBdr>
        <w:top w:val="none" w:sz="0" w:space="0" w:color="auto"/>
        <w:left w:val="none" w:sz="0" w:space="0" w:color="auto"/>
        <w:bottom w:val="none" w:sz="0" w:space="0" w:color="auto"/>
        <w:right w:val="none" w:sz="0" w:space="0" w:color="auto"/>
      </w:divBdr>
    </w:div>
    <w:div w:id="2000115153">
      <w:bodyDiv w:val="1"/>
      <w:marLeft w:val="0"/>
      <w:marRight w:val="0"/>
      <w:marTop w:val="0"/>
      <w:marBottom w:val="0"/>
      <w:divBdr>
        <w:top w:val="none" w:sz="0" w:space="0" w:color="auto"/>
        <w:left w:val="none" w:sz="0" w:space="0" w:color="auto"/>
        <w:bottom w:val="none" w:sz="0" w:space="0" w:color="auto"/>
        <w:right w:val="none" w:sz="0" w:space="0" w:color="auto"/>
      </w:divBdr>
    </w:div>
    <w:div w:id="2000305480">
      <w:bodyDiv w:val="1"/>
      <w:marLeft w:val="0"/>
      <w:marRight w:val="0"/>
      <w:marTop w:val="0"/>
      <w:marBottom w:val="0"/>
      <w:divBdr>
        <w:top w:val="none" w:sz="0" w:space="0" w:color="auto"/>
        <w:left w:val="none" w:sz="0" w:space="0" w:color="auto"/>
        <w:bottom w:val="none" w:sz="0" w:space="0" w:color="auto"/>
        <w:right w:val="none" w:sz="0" w:space="0" w:color="auto"/>
      </w:divBdr>
    </w:div>
    <w:div w:id="2002931290">
      <w:bodyDiv w:val="1"/>
      <w:marLeft w:val="0"/>
      <w:marRight w:val="0"/>
      <w:marTop w:val="0"/>
      <w:marBottom w:val="0"/>
      <w:divBdr>
        <w:top w:val="none" w:sz="0" w:space="0" w:color="auto"/>
        <w:left w:val="none" w:sz="0" w:space="0" w:color="auto"/>
        <w:bottom w:val="none" w:sz="0" w:space="0" w:color="auto"/>
        <w:right w:val="none" w:sz="0" w:space="0" w:color="auto"/>
      </w:divBdr>
    </w:div>
    <w:div w:id="2013877438">
      <w:bodyDiv w:val="1"/>
      <w:marLeft w:val="0"/>
      <w:marRight w:val="0"/>
      <w:marTop w:val="0"/>
      <w:marBottom w:val="0"/>
      <w:divBdr>
        <w:top w:val="none" w:sz="0" w:space="0" w:color="auto"/>
        <w:left w:val="none" w:sz="0" w:space="0" w:color="auto"/>
        <w:bottom w:val="none" w:sz="0" w:space="0" w:color="auto"/>
        <w:right w:val="none" w:sz="0" w:space="0" w:color="auto"/>
      </w:divBdr>
    </w:div>
    <w:div w:id="2014067856">
      <w:bodyDiv w:val="1"/>
      <w:marLeft w:val="0"/>
      <w:marRight w:val="0"/>
      <w:marTop w:val="0"/>
      <w:marBottom w:val="0"/>
      <w:divBdr>
        <w:top w:val="none" w:sz="0" w:space="0" w:color="auto"/>
        <w:left w:val="none" w:sz="0" w:space="0" w:color="auto"/>
        <w:bottom w:val="none" w:sz="0" w:space="0" w:color="auto"/>
        <w:right w:val="none" w:sz="0" w:space="0" w:color="auto"/>
      </w:divBdr>
    </w:div>
    <w:div w:id="2018801980">
      <w:bodyDiv w:val="1"/>
      <w:marLeft w:val="0"/>
      <w:marRight w:val="0"/>
      <w:marTop w:val="0"/>
      <w:marBottom w:val="0"/>
      <w:divBdr>
        <w:top w:val="none" w:sz="0" w:space="0" w:color="auto"/>
        <w:left w:val="none" w:sz="0" w:space="0" w:color="auto"/>
        <w:bottom w:val="none" w:sz="0" w:space="0" w:color="auto"/>
        <w:right w:val="none" w:sz="0" w:space="0" w:color="auto"/>
      </w:divBdr>
    </w:div>
    <w:div w:id="2021393614">
      <w:bodyDiv w:val="1"/>
      <w:marLeft w:val="0"/>
      <w:marRight w:val="0"/>
      <w:marTop w:val="0"/>
      <w:marBottom w:val="0"/>
      <w:divBdr>
        <w:top w:val="none" w:sz="0" w:space="0" w:color="auto"/>
        <w:left w:val="none" w:sz="0" w:space="0" w:color="auto"/>
        <w:bottom w:val="none" w:sz="0" w:space="0" w:color="auto"/>
        <w:right w:val="none" w:sz="0" w:space="0" w:color="auto"/>
      </w:divBdr>
    </w:div>
    <w:div w:id="2023702287">
      <w:bodyDiv w:val="1"/>
      <w:marLeft w:val="0"/>
      <w:marRight w:val="0"/>
      <w:marTop w:val="0"/>
      <w:marBottom w:val="0"/>
      <w:divBdr>
        <w:top w:val="none" w:sz="0" w:space="0" w:color="auto"/>
        <w:left w:val="none" w:sz="0" w:space="0" w:color="auto"/>
        <w:bottom w:val="none" w:sz="0" w:space="0" w:color="auto"/>
        <w:right w:val="none" w:sz="0" w:space="0" w:color="auto"/>
      </w:divBdr>
    </w:div>
    <w:div w:id="2041205015">
      <w:bodyDiv w:val="1"/>
      <w:marLeft w:val="0"/>
      <w:marRight w:val="0"/>
      <w:marTop w:val="0"/>
      <w:marBottom w:val="0"/>
      <w:divBdr>
        <w:top w:val="none" w:sz="0" w:space="0" w:color="auto"/>
        <w:left w:val="none" w:sz="0" w:space="0" w:color="auto"/>
        <w:bottom w:val="none" w:sz="0" w:space="0" w:color="auto"/>
        <w:right w:val="none" w:sz="0" w:space="0" w:color="auto"/>
      </w:divBdr>
    </w:div>
    <w:div w:id="2042510415">
      <w:bodyDiv w:val="1"/>
      <w:marLeft w:val="0"/>
      <w:marRight w:val="0"/>
      <w:marTop w:val="0"/>
      <w:marBottom w:val="0"/>
      <w:divBdr>
        <w:top w:val="none" w:sz="0" w:space="0" w:color="auto"/>
        <w:left w:val="none" w:sz="0" w:space="0" w:color="auto"/>
        <w:bottom w:val="none" w:sz="0" w:space="0" w:color="auto"/>
        <w:right w:val="none" w:sz="0" w:space="0" w:color="auto"/>
      </w:divBdr>
    </w:div>
    <w:div w:id="2042513830">
      <w:bodyDiv w:val="1"/>
      <w:marLeft w:val="0"/>
      <w:marRight w:val="0"/>
      <w:marTop w:val="0"/>
      <w:marBottom w:val="0"/>
      <w:divBdr>
        <w:top w:val="none" w:sz="0" w:space="0" w:color="auto"/>
        <w:left w:val="none" w:sz="0" w:space="0" w:color="auto"/>
        <w:bottom w:val="none" w:sz="0" w:space="0" w:color="auto"/>
        <w:right w:val="none" w:sz="0" w:space="0" w:color="auto"/>
      </w:divBdr>
    </w:div>
    <w:div w:id="2044212353">
      <w:bodyDiv w:val="1"/>
      <w:marLeft w:val="0"/>
      <w:marRight w:val="0"/>
      <w:marTop w:val="0"/>
      <w:marBottom w:val="0"/>
      <w:divBdr>
        <w:top w:val="none" w:sz="0" w:space="0" w:color="auto"/>
        <w:left w:val="none" w:sz="0" w:space="0" w:color="auto"/>
        <w:bottom w:val="none" w:sz="0" w:space="0" w:color="auto"/>
        <w:right w:val="none" w:sz="0" w:space="0" w:color="auto"/>
      </w:divBdr>
    </w:div>
    <w:div w:id="2047565173">
      <w:bodyDiv w:val="1"/>
      <w:marLeft w:val="0"/>
      <w:marRight w:val="0"/>
      <w:marTop w:val="0"/>
      <w:marBottom w:val="0"/>
      <w:divBdr>
        <w:top w:val="none" w:sz="0" w:space="0" w:color="auto"/>
        <w:left w:val="none" w:sz="0" w:space="0" w:color="auto"/>
        <w:bottom w:val="none" w:sz="0" w:space="0" w:color="auto"/>
        <w:right w:val="none" w:sz="0" w:space="0" w:color="auto"/>
      </w:divBdr>
    </w:div>
    <w:div w:id="2049914931">
      <w:bodyDiv w:val="1"/>
      <w:marLeft w:val="0"/>
      <w:marRight w:val="0"/>
      <w:marTop w:val="0"/>
      <w:marBottom w:val="0"/>
      <w:divBdr>
        <w:top w:val="none" w:sz="0" w:space="0" w:color="auto"/>
        <w:left w:val="none" w:sz="0" w:space="0" w:color="auto"/>
        <w:bottom w:val="none" w:sz="0" w:space="0" w:color="auto"/>
        <w:right w:val="none" w:sz="0" w:space="0" w:color="auto"/>
      </w:divBdr>
    </w:div>
    <w:div w:id="2053580548">
      <w:bodyDiv w:val="1"/>
      <w:marLeft w:val="0"/>
      <w:marRight w:val="0"/>
      <w:marTop w:val="0"/>
      <w:marBottom w:val="0"/>
      <w:divBdr>
        <w:top w:val="none" w:sz="0" w:space="0" w:color="auto"/>
        <w:left w:val="none" w:sz="0" w:space="0" w:color="auto"/>
        <w:bottom w:val="none" w:sz="0" w:space="0" w:color="auto"/>
        <w:right w:val="none" w:sz="0" w:space="0" w:color="auto"/>
      </w:divBdr>
    </w:div>
    <w:div w:id="2054308512">
      <w:bodyDiv w:val="1"/>
      <w:marLeft w:val="0"/>
      <w:marRight w:val="0"/>
      <w:marTop w:val="0"/>
      <w:marBottom w:val="0"/>
      <w:divBdr>
        <w:top w:val="none" w:sz="0" w:space="0" w:color="auto"/>
        <w:left w:val="none" w:sz="0" w:space="0" w:color="auto"/>
        <w:bottom w:val="none" w:sz="0" w:space="0" w:color="auto"/>
        <w:right w:val="none" w:sz="0" w:space="0" w:color="auto"/>
      </w:divBdr>
    </w:div>
    <w:div w:id="2058818896">
      <w:bodyDiv w:val="1"/>
      <w:marLeft w:val="0"/>
      <w:marRight w:val="0"/>
      <w:marTop w:val="0"/>
      <w:marBottom w:val="0"/>
      <w:divBdr>
        <w:top w:val="none" w:sz="0" w:space="0" w:color="auto"/>
        <w:left w:val="none" w:sz="0" w:space="0" w:color="auto"/>
        <w:bottom w:val="none" w:sz="0" w:space="0" w:color="auto"/>
        <w:right w:val="none" w:sz="0" w:space="0" w:color="auto"/>
      </w:divBdr>
    </w:div>
    <w:div w:id="2064131073">
      <w:bodyDiv w:val="1"/>
      <w:marLeft w:val="0"/>
      <w:marRight w:val="0"/>
      <w:marTop w:val="0"/>
      <w:marBottom w:val="0"/>
      <w:divBdr>
        <w:top w:val="none" w:sz="0" w:space="0" w:color="auto"/>
        <w:left w:val="none" w:sz="0" w:space="0" w:color="auto"/>
        <w:bottom w:val="none" w:sz="0" w:space="0" w:color="auto"/>
        <w:right w:val="none" w:sz="0" w:space="0" w:color="auto"/>
      </w:divBdr>
    </w:div>
    <w:div w:id="2064938028">
      <w:bodyDiv w:val="1"/>
      <w:marLeft w:val="0"/>
      <w:marRight w:val="0"/>
      <w:marTop w:val="0"/>
      <w:marBottom w:val="0"/>
      <w:divBdr>
        <w:top w:val="none" w:sz="0" w:space="0" w:color="auto"/>
        <w:left w:val="none" w:sz="0" w:space="0" w:color="auto"/>
        <w:bottom w:val="none" w:sz="0" w:space="0" w:color="auto"/>
        <w:right w:val="none" w:sz="0" w:space="0" w:color="auto"/>
      </w:divBdr>
    </w:div>
    <w:div w:id="2067486702">
      <w:bodyDiv w:val="1"/>
      <w:marLeft w:val="0"/>
      <w:marRight w:val="0"/>
      <w:marTop w:val="0"/>
      <w:marBottom w:val="0"/>
      <w:divBdr>
        <w:top w:val="none" w:sz="0" w:space="0" w:color="auto"/>
        <w:left w:val="none" w:sz="0" w:space="0" w:color="auto"/>
        <w:bottom w:val="none" w:sz="0" w:space="0" w:color="auto"/>
        <w:right w:val="none" w:sz="0" w:space="0" w:color="auto"/>
      </w:divBdr>
    </w:div>
    <w:div w:id="2069375836">
      <w:bodyDiv w:val="1"/>
      <w:marLeft w:val="0"/>
      <w:marRight w:val="0"/>
      <w:marTop w:val="0"/>
      <w:marBottom w:val="0"/>
      <w:divBdr>
        <w:top w:val="none" w:sz="0" w:space="0" w:color="auto"/>
        <w:left w:val="none" w:sz="0" w:space="0" w:color="auto"/>
        <w:bottom w:val="none" w:sz="0" w:space="0" w:color="auto"/>
        <w:right w:val="none" w:sz="0" w:space="0" w:color="auto"/>
      </w:divBdr>
    </w:div>
    <w:div w:id="2087459663">
      <w:bodyDiv w:val="1"/>
      <w:marLeft w:val="0"/>
      <w:marRight w:val="0"/>
      <w:marTop w:val="0"/>
      <w:marBottom w:val="0"/>
      <w:divBdr>
        <w:top w:val="none" w:sz="0" w:space="0" w:color="auto"/>
        <w:left w:val="none" w:sz="0" w:space="0" w:color="auto"/>
        <w:bottom w:val="none" w:sz="0" w:space="0" w:color="auto"/>
        <w:right w:val="none" w:sz="0" w:space="0" w:color="auto"/>
      </w:divBdr>
    </w:div>
    <w:div w:id="2089107292">
      <w:bodyDiv w:val="1"/>
      <w:marLeft w:val="0"/>
      <w:marRight w:val="0"/>
      <w:marTop w:val="0"/>
      <w:marBottom w:val="0"/>
      <w:divBdr>
        <w:top w:val="none" w:sz="0" w:space="0" w:color="auto"/>
        <w:left w:val="none" w:sz="0" w:space="0" w:color="auto"/>
        <w:bottom w:val="none" w:sz="0" w:space="0" w:color="auto"/>
        <w:right w:val="none" w:sz="0" w:space="0" w:color="auto"/>
      </w:divBdr>
    </w:div>
    <w:div w:id="2089644492">
      <w:bodyDiv w:val="1"/>
      <w:marLeft w:val="0"/>
      <w:marRight w:val="0"/>
      <w:marTop w:val="0"/>
      <w:marBottom w:val="0"/>
      <w:divBdr>
        <w:top w:val="none" w:sz="0" w:space="0" w:color="auto"/>
        <w:left w:val="none" w:sz="0" w:space="0" w:color="auto"/>
        <w:bottom w:val="none" w:sz="0" w:space="0" w:color="auto"/>
        <w:right w:val="none" w:sz="0" w:space="0" w:color="auto"/>
      </w:divBdr>
    </w:div>
    <w:div w:id="2090690904">
      <w:bodyDiv w:val="1"/>
      <w:marLeft w:val="0"/>
      <w:marRight w:val="0"/>
      <w:marTop w:val="0"/>
      <w:marBottom w:val="0"/>
      <w:divBdr>
        <w:top w:val="none" w:sz="0" w:space="0" w:color="auto"/>
        <w:left w:val="none" w:sz="0" w:space="0" w:color="auto"/>
        <w:bottom w:val="none" w:sz="0" w:space="0" w:color="auto"/>
        <w:right w:val="none" w:sz="0" w:space="0" w:color="auto"/>
      </w:divBdr>
    </w:div>
    <w:div w:id="2091266970">
      <w:bodyDiv w:val="1"/>
      <w:marLeft w:val="0"/>
      <w:marRight w:val="0"/>
      <w:marTop w:val="0"/>
      <w:marBottom w:val="0"/>
      <w:divBdr>
        <w:top w:val="none" w:sz="0" w:space="0" w:color="auto"/>
        <w:left w:val="none" w:sz="0" w:space="0" w:color="auto"/>
        <w:bottom w:val="none" w:sz="0" w:space="0" w:color="auto"/>
        <w:right w:val="none" w:sz="0" w:space="0" w:color="auto"/>
      </w:divBdr>
    </w:div>
    <w:div w:id="2100978887">
      <w:bodyDiv w:val="1"/>
      <w:marLeft w:val="0"/>
      <w:marRight w:val="0"/>
      <w:marTop w:val="0"/>
      <w:marBottom w:val="0"/>
      <w:divBdr>
        <w:top w:val="none" w:sz="0" w:space="0" w:color="auto"/>
        <w:left w:val="none" w:sz="0" w:space="0" w:color="auto"/>
        <w:bottom w:val="none" w:sz="0" w:space="0" w:color="auto"/>
        <w:right w:val="none" w:sz="0" w:space="0" w:color="auto"/>
      </w:divBdr>
    </w:div>
    <w:div w:id="2100981661">
      <w:bodyDiv w:val="1"/>
      <w:marLeft w:val="0"/>
      <w:marRight w:val="0"/>
      <w:marTop w:val="0"/>
      <w:marBottom w:val="0"/>
      <w:divBdr>
        <w:top w:val="none" w:sz="0" w:space="0" w:color="auto"/>
        <w:left w:val="none" w:sz="0" w:space="0" w:color="auto"/>
        <w:bottom w:val="none" w:sz="0" w:space="0" w:color="auto"/>
        <w:right w:val="none" w:sz="0" w:space="0" w:color="auto"/>
      </w:divBdr>
    </w:div>
    <w:div w:id="2102606050">
      <w:bodyDiv w:val="1"/>
      <w:marLeft w:val="0"/>
      <w:marRight w:val="0"/>
      <w:marTop w:val="0"/>
      <w:marBottom w:val="0"/>
      <w:divBdr>
        <w:top w:val="none" w:sz="0" w:space="0" w:color="auto"/>
        <w:left w:val="none" w:sz="0" w:space="0" w:color="auto"/>
        <w:bottom w:val="none" w:sz="0" w:space="0" w:color="auto"/>
        <w:right w:val="none" w:sz="0" w:space="0" w:color="auto"/>
      </w:divBdr>
    </w:div>
    <w:div w:id="2102874783">
      <w:bodyDiv w:val="1"/>
      <w:marLeft w:val="0"/>
      <w:marRight w:val="0"/>
      <w:marTop w:val="0"/>
      <w:marBottom w:val="0"/>
      <w:divBdr>
        <w:top w:val="none" w:sz="0" w:space="0" w:color="auto"/>
        <w:left w:val="none" w:sz="0" w:space="0" w:color="auto"/>
        <w:bottom w:val="none" w:sz="0" w:space="0" w:color="auto"/>
        <w:right w:val="none" w:sz="0" w:space="0" w:color="auto"/>
      </w:divBdr>
    </w:div>
    <w:div w:id="2105149015">
      <w:bodyDiv w:val="1"/>
      <w:marLeft w:val="0"/>
      <w:marRight w:val="0"/>
      <w:marTop w:val="0"/>
      <w:marBottom w:val="0"/>
      <w:divBdr>
        <w:top w:val="none" w:sz="0" w:space="0" w:color="auto"/>
        <w:left w:val="none" w:sz="0" w:space="0" w:color="auto"/>
        <w:bottom w:val="none" w:sz="0" w:space="0" w:color="auto"/>
        <w:right w:val="none" w:sz="0" w:space="0" w:color="auto"/>
      </w:divBdr>
    </w:div>
    <w:div w:id="2108113057">
      <w:bodyDiv w:val="1"/>
      <w:marLeft w:val="0"/>
      <w:marRight w:val="0"/>
      <w:marTop w:val="0"/>
      <w:marBottom w:val="0"/>
      <w:divBdr>
        <w:top w:val="none" w:sz="0" w:space="0" w:color="auto"/>
        <w:left w:val="none" w:sz="0" w:space="0" w:color="auto"/>
        <w:bottom w:val="none" w:sz="0" w:space="0" w:color="auto"/>
        <w:right w:val="none" w:sz="0" w:space="0" w:color="auto"/>
      </w:divBdr>
    </w:div>
    <w:div w:id="2108959315">
      <w:bodyDiv w:val="1"/>
      <w:marLeft w:val="0"/>
      <w:marRight w:val="0"/>
      <w:marTop w:val="0"/>
      <w:marBottom w:val="0"/>
      <w:divBdr>
        <w:top w:val="none" w:sz="0" w:space="0" w:color="auto"/>
        <w:left w:val="none" w:sz="0" w:space="0" w:color="auto"/>
        <w:bottom w:val="none" w:sz="0" w:space="0" w:color="auto"/>
        <w:right w:val="none" w:sz="0" w:space="0" w:color="auto"/>
      </w:divBdr>
    </w:div>
    <w:div w:id="2112780862">
      <w:bodyDiv w:val="1"/>
      <w:marLeft w:val="0"/>
      <w:marRight w:val="0"/>
      <w:marTop w:val="0"/>
      <w:marBottom w:val="0"/>
      <w:divBdr>
        <w:top w:val="none" w:sz="0" w:space="0" w:color="auto"/>
        <w:left w:val="none" w:sz="0" w:space="0" w:color="auto"/>
        <w:bottom w:val="none" w:sz="0" w:space="0" w:color="auto"/>
        <w:right w:val="none" w:sz="0" w:space="0" w:color="auto"/>
      </w:divBdr>
    </w:div>
    <w:div w:id="2117559978">
      <w:bodyDiv w:val="1"/>
      <w:marLeft w:val="0"/>
      <w:marRight w:val="0"/>
      <w:marTop w:val="0"/>
      <w:marBottom w:val="0"/>
      <w:divBdr>
        <w:top w:val="none" w:sz="0" w:space="0" w:color="auto"/>
        <w:left w:val="none" w:sz="0" w:space="0" w:color="auto"/>
        <w:bottom w:val="none" w:sz="0" w:space="0" w:color="auto"/>
        <w:right w:val="none" w:sz="0" w:space="0" w:color="auto"/>
      </w:divBdr>
    </w:div>
    <w:div w:id="2118937811">
      <w:bodyDiv w:val="1"/>
      <w:marLeft w:val="0"/>
      <w:marRight w:val="0"/>
      <w:marTop w:val="0"/>
      <w:marBottom w:val="0"/>
      <w:divBdr>
        <w:top w:val="none" w:sz="0" w:space="0" w:color="auto"/>
        <w:left w:val="none" w:sz="0" w:space="0" w:color="auto"/>
        <w:bottom w:val="none" w:sz="0" w:space="0" w:color="auto"/>
        <w:right w:val="none" w:sz="0" w:space="0" w:color="auto"/>
      </w:divBdr>
    </w:div>
    <w:div w:id="2120685050">
      <w:bodyDiv w:val="1"/>
      <w:marLeft w:val="0"/>
      <w:marRight w:val="0"/>
      <w:marTop w:val="0"/>
      <w:marBottom w:val="0"/>
      <w:divBdr>
        <w:top w:val="none" w:sz="0" w:space="0" w:color="auto"/>
        <w:left w:val="none" w:sz="0" w:space="0" w:color="auto"/>
        <w:bottom w:val="none" w:sz="0" w:space="0" w:color="auto"/>
        <w:right w:val="none" w:sz="0" w:space="0" w:color="auto"/>
      </w:divBdr>
    </w:div>
    <w:div w:id="2120907538">
      <w:bodyDiv w:val="1"/>
      <w:marLeft w:val="0"/>
      <w:marRight w:val="0"/>
      <w:marTop w:val="0"/>
      <w:marBottom w:val="0"/>
      <w:divBdr>
        <w:top w:val="none" w:sz="0" w:space="0" w:color="auto"/>
        <w:left w:val="none" w:sz="0" w:space="0" w:color="auto"/>
        <w:bottom w:val="none" w:sz="0" w:space="0" w:color="auto"/>
        <w:right w:val="none" w:sz="0" w:space="0" w:color="auto"/>
      </w:divBdr>
    </w:div>
    <w:div w:id="2121491756">
      <w:bodyDiv w:val="1"/>
      <w:marLeft w:val="0"/>
      <w:marRight w:val="0"/>
      <w:marTop w:val="0"/>
      <w:marBottom w:val="0"/>
      <w:divBdr>
        <w:top w:val="none" w:sz="0" w:space="0" w:color="auto"/>
        <w:left w:val="none" w:sz="0" w:space="0" w:color="auto"/>
        <w:bottom w:val="none" w:sz="0" w:space="0" w:color="auto"/>
        <w:right w:val="none" w:sz="0" w:space="0" w:color="auto"/>
      </w:divBdr>
    </w:div>
    <w:div w:id="2122070027">
      <w:bodyDiv w:val="1"/>
      <w:marLeft w:val="0"/>
      <w:marRight w:val="0"/>
      <w:marTop w:val="0"/>
      <w:marBottom w:val="0"/>
      <w:divBdr>
        <w:top w:val="none" w:sz="0" w:space="0" w:color="auto"/>
        <w:left w:val="none" w:sz="0" w:space="0" w:color="auto"/>
        <w:bottom w:val="none" w:sz="0" w:space="0" w:color="auto"/>
        <w:right w:val="none" w:sz="0" w:space="0" w:color="auto"/>
      </w:divBdr>
    </w:div>
    <w:div w:id="2122530558">
      <w:bodyDiv w:val="1"/>
      <w:marLeft w:val="0"/>
      <w:marRight w:val="0"/>
      <w:marTop w:val="0"/>
      <w:marBottom w:val="0"/>
      <w:divBdr>
        <w:top w:val="none" w:sz="0" w:space="0" w:color="auto"/>
        <w:left w:val="none" w:sz="0" w:space="0" w:color="auto"/>
        <w:bottom w:val="none" w:sz="0" w:space="0" w:color="auto"/>
        <w:right w:val="none" w:sz="0" w:space="0" w:color="auto"/>
      </w:divBdr>
    </w:div>
    <w:div w:id="2123069572">
      <w:bodyDiv w:val="1"/>
      <w:marLeft w:val="0"/>
      <w:marRight w:val="0"/>
      <w:marTop w:val="0"/>
      <w:marBottom w:val="0"/>
      <w:divBdr>
        <w:top w:val="none" w:sz="0" w:space="0" w:color="auto"/>
        <w:left w:val="none" w:sz="0" w:space="0" w:color="auto"/>
        <w:bottom w:val="none" w:sz="0" w:space="0" w:color="auto"/>
        <w:right w:val="none" w:sz="0" w:space="0" w:color="auto"/>
      </w:divBdr>
    </w:div>
    <w:div w:id="2123719096">
      <w:bodyDiv w:val="1"/>
      <w:marLeft w:val="0"/>
      <w:marRight w:val="0"/>
      <w:marTop w:val="0"/>
      <w:marBottom w:val="0"/>
      <w:divBdr>
        <w:top w:val="none" w:sz="0" w:space="0" w:color="auto"/>
        <w:left w:val="none" w:sz="0" w:space="0" w:color="auto"/>
        <w:bottom w:val="none" w:sz="0" w:space="0" w:color="auto"/>
        <w:right w:val="none" w:sz="0" w:space="0" w:color="auto"/>
      </w:divBdr>
    </w:div>
    <w:div w:id="2129154452">
      <w:bodyDiv w:val="1"/>
      <w:marLeft w:val="0"/>
      <w:marRight w:val="0"/>
      <w:marTop w:val="0"/>
      <w:marBottom w:val="0"/>
      <w:divBdr>
        <w:top w:val="none" w:sz="0" w:space="0" w:color="auto"/>
        <w:left w:val="none" w:sz="0" w:space="0" w:color="auto"/>
        <w:bottom w:val="none" w:sz="0" w:space="0" w:color="auto"/>
        <w:right w:val="none" w:sz="0" w:space="0" w:color="auto"/>
      </w:divBdr>
    </w:div>
    <w:div w:id="2141192395">
      <w:bodyDiv w:val="1"/>
      <w:marLeft w:val="0"/>
      <w:marRight w:val="0"/>
      <w:marTop w:val="0"/>
      <w:marBottom w:val="0"/>
      <w:divBdr>
        <w:top w:val="none" w:sz="0" w:space="0" w:color="auto"/>
        <w:left w:val="none" w:sz="0" w:space="0" w:color="auto"/>
        <w:bottom w:val="none" w:sz="0" w:space="0" w:color="auto"/>
        <w:right w:val="none" w:sz="0" w:space="0" w:color="auto"/>
      </w:divBdr>
    </w:div>
    <w:div w:id="214230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Dan17</b:Tag>
    <b:SourceType>JournalArticle</b:SourceType>
    <b:Guid>{05E01229-4BD9-4986-ABD2-24330E491C89}</b:Guid>
    <b:Author>
      <b:Author>
        <b:NameList>
          <b:Person>
            <b:Last>Daniel Hdidouan</b:Last>
            <b:First>Iain</b:First>
            <b:Middle>Staffell</b:Middle>
          </b:Person>
        </b:NameList>
      </b:Author>
    </b:Author>
    <b:Title>The impact of climate change on the levelised cost of wind energy</b:Title>
    <b:JournalName>Renewable Energy</b:JournalName>
    <b:Year>2017</b:Year>
    <b:Pages>575-592</b:Pages>
    <b:RefOrder>2</b:RefOrder>
  </b:Source>
  <b:Source>
    <b:Tag>Imr17</b:Tag>
    <b:SourceType>JournalArticle</b:SourceType>
    <b:Guid>{EFB6C421-260C-404E-A6C6-072E03D5719F}</b:Guid>
    <b:Author>
      <b:Author>
        <b:NameList>
          <b:Person>
            <b:Last>Imran Ullah Khana</b:Last>
            <b:First>Mohd</b:First>
            <b:Middle>Hafiz Dzarfan Othmanb, Haslenda Hashima, Takeshi Matsuurad, A.F. Ismail, M. Rezaei-DashtArzhandi, I. Wan Azelee</b:Middle>
          </b:Person>
        </b:NameList>
      </b:Author>
    </b:Author>
    <b:Title>Biogas as a renewable energy fuel – A review of biogas upgrading, utilisation and storage</b:Title>
    <b:JournalName>Energy Conversion and Management</b:JournalName>
    <b:Year>2017</b:Year>
    <b:Pages>277-294</b:Pages>
    <b:RefOrder>3</b:RefOrder>
  </b:Source>
  <b:Source>
    <b:Tag>Wor16</b:Tag>
    <b:SourceType>Report</b:SourceType>
    <b:Guid>{59C29EEA-6438-4B8A-9523-EB3012535E13}</b:Guid>
    <b:Title>World Energy Resources. Bioenergy 2016</b:Title>
    <b:Year>2016</b:Year>
    <b:Author>
      <b:Author>
        <b:Corporate>World Energy Council</b:Corporate>
      </b:Author>
    </b:Author>
    <b:RefOrder>4</b:RefOrder>
  </b:Source>
  <b:Source>
    <b:Tag>Eur15</b:Tag>
    <b:SourceType>InternetSite</b:SourceType>
    <b:Guid>{BB57DCA7-95C5-4F86-BB49-2B8A2FC879FD}</b:Guid>
    <b:Title>http://european-biogas.eu</b:Title>
    <b:Year>2015</b:Year>
    <b:Author>
      <b:Author>
        <b:Corporate>European Biogas Association</b:Corporate>
      </b:Author>
    </b:Author>
    <b:RefOrder>5</b:RefOrder>
  </b:Source>
  <b:Source>
    <b:Tag>Wei09</b:Tag>
    <b:SourceType>JournalArticle</b:SourceType>
    <b:Guid>{400FDB3E-399C-4F4D-B5E0-CBF8125E18AD}</b:Guid>
    <b:Title>Biogas production: current state and perspectives</b:Title>
    <b:Year>2009</b:Year>
    <b:Author>
      <b:Author>
        <b:NameList>
          <b:Person>
            <b:Last>Weiland</b:Last>
            <b:First>Peter</b:First>
          </b:Person>
        </b:NameList>
      </b:Author>
    </b:Author>
    <b:JournalName>Springer-Verlag</b:JournalName>
    <b:Pages>849-860</b:Pages>
    <b:RefOrder>6</b:RefOrder>
  </b:Source>
  <b:Source>
    <b:Tag>Ong14</b:Tag>
    <b:SourceType>Report</b:SourceType>
    <b:Guid>{FE50DC26-F5D4-4725-9D09-FC45794DC267}</b:Guid>
    <b:Author>
      <b:Author>
        <b:NameList>
          <b:Person>
            <b:Last>Ong</b:Last>
            <b:First>M</b:First>
          </b:Person>
          <b:Person>
            <b:Last>Williams</b:Last>
            <b:First>R</b:First>
          </b:Person>
          <b:Person>
            <b:Last>Kaffka</b:Last>
            <b:First>S</b:First>
          </b:Person>
        </b:NameList>
      </b:Author>
    </b:Author>
    <b:Title>DRAFT Comparative Assessment of Technology Options for Biogas Clean‐up</b:Title>
    <b:Year>2014</b:Year>
    <b:Publisher>California Energy Commission</b:Publisher>
    <b:City>California</b:City>
    <b:RefOrder>7</b:RefOrder>
  </b:Source>
  <b:Source>
    <b:Tag>Aba09</b:Tag>
    <b:SourceType>JournalArticle</b:SourceType>
    <b:Guid>{A0D847DF-0158-4939-8F27-0761EAD29C4B}</b:Guid>
    <b:Title>A review of biogas purification processes</b:Title>
    <b:Year>2009</b:Year>
    <b:Author>
      <b:Author>
        <b:NameList>
          <b:Person>
            <b:Last>Abatzoglou</b:Last>
            <b:First>Nicolas</b:First>
          </b:Person>
          <b:Person>
            <b:Last>Boivin</b:Last>
            <b:First>Steve</b:First>
          </b:Person>
        </b:NameList>
      </b:Author>
    </b:Author>
    <b:JournalName>Biofuels, Bioproducts and Biorefining</b:JournalName>
    <b:Pages>42-71</b:Pages>
    <b:RefOrder>8</b:RefOrder>
  </b:Source>
  <b:Source>
    <b:Tag>Per03</b:Tag>
    <b:SourceType>Report</b:SourceType>
    <b:Guid>{15430467-10DE-4521-B1B6-19A9B4FC0525}</b:Guid>
    <b:Author>
      <b:Author>
        <b:NameList>
          <b:Person>
            <b:Last>Persson</b:Last>
            <b:First>Margareta</b:First>
          </b:Person>
        </b:NameList>
      </b:Author>
    </b:Author>
    <b:Title>Evaluation of upgrading techniques for biogas.</b:Title>
    <b:Year>2003</b:Year>
    <b:City>Sweden</b:City>
    <b:RefOrder>9</b:RefOrder>
  </b:Source>
  <b:Source>
    <b:Tag>Gra07</b:Tag>
    <b:SourceType>JournalArticle</b:SourceType>
    <b:Guid>{5E5782CC-22EF-4AE0-A5B4-AF2563972F2E}</b:Guid>
    <b:Title>Biogas to Fuel by Vacuum Pressure Swing Adsorption I. Behavior of Equilibrium and Kinetic-Based Adsorbents.</b:Title>
    <b:Year>2007</b:Year>
    <b:Author>
      <b:Author>
        <b:NameList>
          <b:Person>
            <b:Last>Grande</b:Last>
            <b:First>Carlos</b:First>
          </b:Person>
          <b:Person>
            <b:Last>Rodrigues</b:Last>
            <b:First>Alírio</b:First>
          </b:Person>
        </b:NameList>
      </b:Author>
    </b:Author>
    <b:JournalName>American Chemical Society</b:JournalName>
    <b:Pages>4595-4605</b:Pages>
    <b:RefOrder>10</b:RefOrder>
  </b:Source>
  <b:Source>
    <b:Tag>Dae03</b:Tag>
    <b:SourceType>JournalArticle</b:SourceType>
    <b:Guid>{B976EF9E-FF3E-4797-8959-EA4E03112B66}</b:Guid>
    <b:Author>
      <b:Author>
        <b:NameList>
          <b:Person>
            <b:Last>Daeho</b:Last>
            <b:First>Ko</b:First>
          </b:Person>
          <b:Person>
            <b:Last>Ranjani</b:Last>
            <b:First>Siriwardane</b:First>
          </b:Person>
          <b:Person>
            <b:Last>Lorenz</b:Last>
            <b:First>Biegler</b:First>
          </b:Person>
        </b:NameList>
      </b:Author>
    </b:Author>
    <b:Title>Optimization of a Pressure-Swing Adsorption Process Using Zeolite 13X for CO2 Sequestration</b:Title>
    <b:JournalName>American Chemical Society</b:JournalName>
    <b:Year>2003</b:Year>
    <b:Pages>339-348</b:Pages>
    <b:RefOrder>11</b:RefOrder>
  </b:Source>
  <b:Source>
    <b:Tag>Cha07</b:Tag>
    <b:SourceType>JournalArticle</b:SourceType>
    <b:Guid>{87251AF0-FCDD-4FFF-B1FE-17C01E48CBF6}</b:Guid>
    <b:Author>
      <b:Author>
        <b:NameList>
          <b:Person>
            <b:Last>Chaffee</b:Last>
            <b:First>Alan</b:First>
            <b:Middle>L</b:Middle>
          </b:Person>
          <b:Person>
            <b:Last>Knowles</b:Last>
            <b:First>Gregory</b:First>
            <b:Middle>P</b:Middle>
          </b:Person>
          <b:Person>
            <b:Last>Liang</b:Last>
            <b:First>Zhijian</b:First>
          </b:Person>
          <b:Person>
            <b:Last>Zhang</b:Last>
            <b:First>Jun</b:First>
          </b:Person>
          <b:Person>
            <b:Last>Xiao</b:Last>
            <b:First>Penny</b:First>
          </b:Person>
          <b:Person>
            <b:Last>Webley</b:Last>
            <b:First>Paul</b:First>
            <b:Middle>A.</b:Middle>
          </b:Person>
        </b:NameList>
      </b:Author>
    </b:Author>
    <b:Title>CO2 capture by adsorption: Materials and process development</b:Title>
    <b:JournalName>International journal of greenhouse gas control 1</b:JournalName>
    <b:Year>2007</b:Year>
    <b:Pages>11-18</b:Pages>
    <b:RefOrder>12</b:RefOrder>
  </b:Source>
  <b:Source>
    <b:Tag>Coz15</b:Tag>
    <b:SourceType>JournalArticle</b:SourceType>
    <b:Guid>{6D45A42D-544E-4870-84DA-CA6C26CEE8E0}</b:Guid>
    <b:Author>
      <b:Author>
        <b:NameList>
          <b:Person>
            <b:Last>Cozma</b:Last>
            <b:First>Petrolena</b:First>
          </b:Person>
          <b:Person>
            <b:Last>Wukovits</b:Last>
            <b:First>Walter</b:First>
          </b:Person>
          <b:Person>
            <b:Last>Mamaliga</b:Last>
            <b:First>Ioan</b:First>
          </b:Person>
          <b:Person>
            <b:Last>Friedl</b:Last>
            <b:First>Anton</b:First>
          </b:Person>
          <b:Person>
            <b:Last>Gavrilescu</b:Last>
            <b:First>Maria</b:First>
          </b:Person>
        </b:NameList>
      </b:Author>
    </b:Author>
    <b:Title>Modeling and simulation of high pressure water scrubbing technology applied for biogas upgrading</b:Title>
    <b:JournalName>Clean Technologies Environmental Policy</b:JournalName>
    <b:Year>2015</b:Year>
    <b:Pages>373-391</b:Pages>
    <b:RefOrder>13</b:RefOrder>
  </b:Source>
  <b:Source>
    <b:Tag>Mar05</b:Tag>
    <b:SourceType>Book</b:SourceType>
    <b:Guid>{C75F4B97-6C8E-4800-A994-F0DFCBC1654B}</b:Guid>
    <b:Title>Biomethane from Dairy Waste: A Sourcebook for the Production and Use of Renewable Natural Gas in California</b:Title>
    <b:Year>2005</b:Year>
    <b:Author>
      <b:Author>
        <b:NameList>
          <b:Person>
            <b:Last>Krich K</b:Last>
            <b:First>Augenstein</b:First>
            <b:Middle>D, Batmale J, Benemann J, Rutledge B, Salour D</b:Middle>
          </b:Person>
        </b:NameList>
      </b:Author>
    </b:Author>
    <b:City>California</b:City>
    <b:RefOrder>14</b:RefOrder>
  </b:Source>
  <b:Source>
    <b:Tag>MarcadorDePosición1</b:Tag>
    <b:SourceType>Book</b:SourceType>
    <b:Guid>{BCA0E8CC-B408-4D6D-8884-166B974C1F51}</b:Guid>
    <b:Title>Biomethane from Dairy Waste: A Sourcebook for the Production and Use of Renewable Natural Gas in California</b:Title>
    <b:Year>2005</b:Year>
    <b:Author>
      <b:Author>
        <b:NameList>
          <b:Person>
            <b:Last>Marsh</b:Last>
            <b:First>Michael</b:First>
          </b:Person>
        </b:NameList>
      </b:Author>
    </b:Author>
    <b:City>California</b:City>
    <b:RefOrder>15</b:RefOrder>
  </b:Source>
  <b:Source>
    <b:Tag>Kis11</b:Tag>
    <b:SourceType>JournalArticle</b:SourceType>
    <b:Guid>{2E8F933A-7704-4C6E-8670-83B54249C473}</b:Guid>
    <b:Author>
      <b:Author>
        <b:NameList>
          <b:Person>
            <b:Last>Kismurtono</b:Last>
            <b:First>Muhammad</b:First>
          </b:Person>
        </b:NameList>
      </b:Author>
    </b:Author>
    <b:Title>Upgrade Biogas Purification in Packed Column with Chemical Absorption of CO2 For Energy Alternative Of Small Industry</b:Title>
    <b:Year>2011</b:Year>
    <b:JournalName>International Journal of Engineering &amp; Technology</b:JournalName>
    <b:Pages>83-86</b:Pages>
    <b:RefOrder>16</b:RefOrder>
  </b:Source>
  <b:Source>
    <b:Tag>Hua01</b:Tag>
    <b:SourceType>JournalArticle</b:SourceType>
    <b:Guid>{8689C538-A7B1-487C-BAF4-F84802C29ABE}</b:Guid>
    <b:Author>
      <b:Author>
        <b:NameList>
          <b:Person>
            <b:Last>Huang</b:Last>
            <b:First>H.</b:First>
            <b:Middle>P.</b:Middle>
          </b:Person>
          <b:Person>
            <b:Last>Shi</b:Last>
            <b:First>Y.</b:First>
          </b:Person>
          <b:Person>
            <b:Last>Li</b:Last>
            <b:First>W.</b:First>
          </b:Person>
          <b:Person>
            <b:Last>Chang</b:Last>
            <b:First>S.G,</b:First>
          </b:Person>
        </b:NameList>
      </b:Author>
    </b:Author>
    <b:Title>Dual Alkali Approaches for the Capture and Separation of CO2</b:Title>
    <b:JournalName>Energy &amp; Fuels</b:JournalName>
    <b:Year>2001</b:Year>
    <b:Pages>263-268</b:Pages>
    <b:RefOrder>17</b:RefOrder>
  </b:Source>
  <b:Source>
    <b:Tag>Yuj17</b:Tag>
    <b:SourceType>JournalArticle</b:SourceType>
    <b:Guid>{FC84AE9A-5BB3-4A28-B9B8-CE941B826663}</b:Guid>
    <b:Author>
      <b:Author>
        <b:NameList>
          <b:Person>
            <b:Last>Yujiao</b:Last>
            <b:First>Xie</b:First>
          </b:Person>
          <b:Person>
            <b:Last>Johanna</b:Last>
            <b:First>Björkmalm</b:First>
          </b:Person>
          <b:Person>
            <b:Last>Chunyan</b:Last>
            <b:First>Ma</b:First>
          </b:Person>
          <b:Person>
            <b:Last>Karin</b:Last>
            <b:First>Willquist</b:First>
          </b:Person>
          <b:Person>
            <b:Last>Johan</b:Last>
            <b:First>Yngvesson</b:First>
          </b:Person>
          <b:Person>
            <b:Last>Ola</b:Last>
            <b:First>Wallberg</b:First>
          </b:Person>
          <b:Person>
            <b:Last>Xiaoyan</b:Last>
            <b:First>Ji</b:First>
          </b:Person>
        </b:NameList>
      </b:Author>
    </b:Author>
    <b:Title>Techno-economic evaluation of biogas upgrading using ionic liquids in comparison with industrially used technology in Scandinavian anaerobic digestion plants</b:Title>
    <b:JournalName>Applied Energy</b:JournalName>
    <b:Year>2017</b:Year>
    <b:LCID>en-US</b:LCID>
    <b:RefOrder>18</b:RefOrder>
  </b:Source>
  <b:Source>
    <b:Tag>Pet09</b:Tag>
    <b:SourceType>JournalArticle</b:SourceType>
    <b:Guid>{DA6F735E-4875-4D6D-A240-32AC658D85C4}</b:Guid>
    <b:Author>
      <b:Author>
        <b:NameList>
          <b:Person>
            <b:Last>Petersson</b:Last>
            <b:First>Anneli</b:First>
          </b:Person>
          <b:Person>
            <b:Last>Wellinger</b:Last>
            <b:First>Arthur</b:First>
          </b:Person>
        </b:NameList>
      </b:Author>
    </b:Author>
    <b:Title>Biogas upgrading technologies – developments and innovations</b:Title>
    <b:JournalName>IEA Bioenergy</b:JournalName>
    <b:Year>2009</b:Year>
    <b:Pages>01-19</b:Pages>
    <b:LCID>en-US</b:LCID>
    <b:RefOrder>19</b:RefOrder>
  </b:Source>
  <b:Source>
    <b:Tag>Gum17</b:Tag>
    <b:SourceType>JournalArticle</b:SourceType>
    <b:Guid>{878339D9-C0B5-4BCA-9182-A7CC933D1E41}</b:Guid>
    <b:Title>Biomass waste-to-energy valorization technologies: a review case for banana processing in Uganda</b:Title>
    <b:Year>2017</b:Year>
    <b:Author>
      <b:Author>
        <b:NameList>
          <b:Person>
            <b:Last>Gumisiriza</b:Last>
            <b:First>Robert</b:First>
          </b:Person>
          <b:Person>
            <b:Last>Hawumba</b:Last>
            <b:First>Joseph</b:First>
            <b:Middle>Funa</b:Middle>
          </b:Person>
          <b:Person>
            <b:Last>Okure</b:Last>
            <b:First>Mackay</b:First>
          </b:Person>
          <b:Person>
            <b:Last>Hensel</b:Last>
            <b:First>Oliver</b:First>
          </b:Person>
        </b:NameList>
      </b:Author>
    </b:Author>
    <b:JournalName>Biotechnol Biofuels</b:JournalName>
    <b:RefOrder>20</b:RefOrder>
  </b:Source>
  <b:Source>
    <b:Tag>Moh14</b:Tag>
    <b:SourceType>JournalArticle</b:SourceType>
    <b:Guid>{B8347599-B553-40CC-9CCF-0C7CE6F85771}</b:Guid>
    <b:Author>
      <b:Author>
        <b:NameList>
          <b:Person>
            <b:Last>Songolzadeh</b:Last>
            <b:First>Mohammad</b:First>
          </b:Person>
          <b:Person>
            <b:Last>Soleimani</b:Last>
            <b:First>Mansooreh</b:First>
          </b:Person>
          <b:Person>
            <b:Last>Ravanchi</b:Last>
            <b:First>Maryam</b:First>
            <b:Middle>Takht</b:Middle>
          </b:Person>
          <b:Person>
            <b:Last>Songolzadeh</b:Last>
            <b:First>Reza</b:First>
          </b:Person>
        </b:NameList>
      </b:Author>
    </b:Author>
    <b:Title>Carbon Dioxide Separation from Flue Gases: A Technological Review Emphasizing Reduction in Greenhouse Gas Emissions</b:Title>
    <b:JournalName>The Scientific World Journal</b:JournalName>
    <b:Year>2014</b:Year>
    <b:RefOrder>21</b:RefOrder>
  </b:Source>
  <b:Source>
    <b:Tag>Joh08</b:Tag>
    <b:SourceType>Book</b:SourceType>
    <b:Guid>{15B5490A-5EC6-4DCF-993D-7EB2314FFB24}</b:Guid>
    <b:Author>
      <b:Author>
        <b:NameList>
          <b:Person>
            <b:Last>Johansson</b:Last>
            <b:First>N.</b:First>
          </b:Person>
        </b:NameList>
      </b:Author>
    </b:Author>
    <b:Title>Production of liquid biogas, LBG, with cryogenic and conventional upgrading technology.</b:Title>
    <b:Year>2008</b:Year>
    <b:City>Lund</b:City>
    <b:RefOrder>22</b:RefOrder>
  </b:Source>
  <b:Source>
    <b:Tag>Hul08</b:Tag>
    <b:SourceType>Report</b:SourceType>
    <b:Guid>{910BF34D-2918-4E98-826F-3624BDAE3A2B}</b:Guid>
    <b:Title>Biogas upgrading: Comparing Different Techniques</b:Title>
    <b:Year>2008</b:Year>
    <b:City>Eindhoven</b:City>
    <b:Publisher>Eindhoven University of Technology</b:Publisher>
    <b:Author>
      <b:Author>
        <b:NameList>
          <b:Person>
            <b:Last>Hullu</b:Last>
            <b:First>Joanne</b:First>
            <b:Middle>de</b:Middle>
          </b:Person>
        </b:NameList>
      </b:Author>
    </b:Author>
    <b:RefOrder>23</b:RefOrder>
  </b:Source>
  <b:Source>
    <b:Tag>Ala07</b:Tag>
    <b:SourceType>JournalArticle</b:SourceType>
    <b:Guid>{11785449-2EFB-4DAF-8E14-D182D4646CB9}</b:Guid>
    <b:Title>CO2 capture by adsorption: Materials and process development</b:Title>
    <b:Year>2007</b:Year>
    <b:Author>
      <b:Author>
        <b:NameList>
          <b:Person>
            <b:Last>Chaffee</b:Last>
            <b:First>Alan</b:First>
            <b:Middle>L.</b:Middle>
          </b:Person>
          <b:Person>
            <b:Last>Knowles</b:Last>
            <b:First>Gregory</b:First>
            <b:Middle>P.</b:Middle>
          </b:Person>
          <b:Person>
            <b:Last>Liang</b:Last>
            <b:First>Zhijan</b:First>
          </b:Person>
          <b:Person>
            <b:Last>Zhang</b:Last>
            <b:First>Jun</b:First>
          </b:Person>
          <b:Person>
            <b:Last>Xiao</b:Last>
            <b:First>Penny</b:First>
          </b:Person>
          <b:Person>
            <b:Last>Webley</b:Last>
            <b:First>Paul</b:First>
            <b:Middle>A.</b:Middle>
          </b:Person>
        </b:NameList>
      </b:Author>
    </b:Author>
    <b:JournalName>International Journal of Greenhouse Gas Control</b:JournalName>
    <b:Pages>11-18</b:Pages>
    <b:LCID>en-US</b:LCID>
    <b:RefOrder>24</b:RefOrder>
  </b:Source>
  <b:Source>
    <b:Tag>Yua15</b:Tag>
    <b:SourceType>JournalArticle</b:SourceType>
    <b:Guid>{61923F97-1B5E-408A-A8CD-54E96F67D537}</b:Guid>
    <b:Author>
      <b:Author>
        <b:NameList>
          <b:Person>
            <b:Last>Yuan Chen</b:Last>
            <b:First>Xiao</b:First>
          </b:Person>
          <b:Person>
            <b:Last>Vinh-Thang</b:Last>
            <b:First>Hoang</b:First>
          </b:Person>
          <b:Person>
            <b:Last>Avalos Ramirez</b:Last>
            <b:First>Antonio</b:First>
          </b:Person>
          <b:Person>
            <b:Last>Rodrigue</b:Last>
            <b:First>Denis</b:First>
          </b:Person>
          <b:Person>
            <b:Last>Kaliaguine</b:Last>
            <b:First>Serge</b:First>
          </b:Person>
        </b:NameList>
      </b:Author>
    </b:Author>
    <b:Title>Membrane gas separation technologies for biogas upgrading</b:Title>
    <b:JournalName>RSC Advances</b:JournalName>
    <b:Year>2015</b:Year>
    <b:Pages>24399–24448</b:Pages>
    <b:LCID>en-US</b:LCID>
    <b:RefOrder>25</b:RefOrder>
  </b:Source>
  <b:Source>
    <b:Tag>JIE10</b:Tag>
    <b:SourceType>JournalArticle</b:SourceType>
    <b:Guid>{39F61301-831D-4421-A7C3-EB4B422DB398}</b:Guid>
    <b:LCID>en-US</b:LCID>
    <b:Author>
      <b:Author>
        <b:NameList>
          <b:Person>
            <b:Last>Eze</b:Last>
            <b:First>J.I.</b:First>
          </b:Person>
          <b:Person>
            <b:Last>Agbo</b:Last>
            <b:First>K.E.</b:First>
          </b:Person>
        </b:NameList>
      </b:Author>
    </b:Author>
    <b:Title>Maximizing the potentials of biogas through upgrading</b:Title>
    <b:JournalName>American Journal of Scientific and Industrial Research</b:JournalName>
    <b:Year>2010</b:Year>
    <b:Pages>604-609</b:Pages>
    <b:RefOrder>26</b:RefOrder>
  </b:Source>
  <b:Source>
    <b:Tag>Hon13</b:Tag>
    <b:SourceType>JournalArticle</b:SourceType>
    <b:Guid>{CC716E02-ABC9-4115-AAB0-F9E2B02CE4CB}</b:Guid>
    <b:Author>
      <b:Author>
        <b:NameList>
          <b:Person>
            <b:Last>Nie</b:Last>
            <b:First>Hong</b:First>
          </b:Person>
          <b:Person>
            <b:Last>Jiang</b:Last>
            <b:First>Hao</b:First>
          </b:Person>
          <b:Person>
            <b:Last>Chong</b:Last>
            <b:First>Daowen</b:First>
          </b:Person>
          <b:Person>
            <b:Last>Wu</b:Last>
            <b:First>Quangui</b:First>
          </b:Person>
          <b:Person>
            <b:Last>Xu</b:Last>
            <b:First>Chunming</b:First>
          </b:Person>
          <b:Person>
            <b:Last>Zhou</b:Last>
            <b:First>Hongjun</b:First>
          </b:Person>
        </b:NameList>
      </b:Author>
    </b:Author>
    <b:Title>Comparison of Water Scrubbing and Propylene Cafrbonate Absorption for Biogas Upgrading Process</b:Title>
    <b:JournalName>Energy Fuels</b:JournalName>
    <b:Year>2013</b:Year>
    <b:Pages>3239-3245</b:Pages>
    <b:LCID>en-US</b:LCID>
    <b:RefOrder>27</b:RefOrder>
  </b:Source>
  <b:Source>
    <b:Tag>NTi10</b:Tag>
    <b:SourceType>JournalArticle</b:SourceType>
    <b:Guid>{A3B8389D-35DC-4AB0-8BA9-5BFA1226801B}</b:Guid>
    <b:LCID>en-US</b:LCID>
    <b:Author>
      <b:Author>
        <b:NameList>
          <b:Person>
            <b:Last>Tippayawrong</b:Last>
            <b:First>N.</b:First>
          </b:Person>
          <b:Person>
            <b:Last>Thanompongchart</b:Last>
            <b:First>P.</b:First>
          </b:Person>
        </b:NameList>
      </b:Author>
    </b:Author>
    <b:Title>Biogas quality upgrade by simultaneous removal of CO2 and H2S in a packed column reactor</b:Title>
    <b:JournalName>Energy</b:JournalName>
    <b:Year>2010</b:Year>
    <b:Pages>4531-4535</b:Pages>
    <b:RefOrder>28</b:RefOrder>
  </b:Source>
  <b:Source>
    <b:Tag>Lau10</b:Tag>
    <b:SourceType>JournalArticle</b:SourceType>
    <b:Guid>{D56325AE-0793-49E2-9CDA-E68D47FEF838}</b:Guid>
    <b:LCID>en-US</b:LCID>
    <b:Author>
      <b:Author>
        <b:NameList>
          <b:Person>
            <b:Last>Tock</b:Last>
            <b:First>Laurence</b:First>
          </b:Person>
          <b:Person>
            <b:Last>Gassner</b:Last>
            <b:First>Martin</b:First>
          </b:Person>
          <b:Person>
            <b:Last>Maréchal</b:Last>
            <b:First>François</b:First>
          </b:Person>
        </b:NameList>
      </b:Author>
    </b:Author>
    <b:Title>Thermochemical production of liquid fuels from biomass: Thermo-economic modeling, process design and process integration analysis</b:Title>
    <b:JournalName>Biomass and Bioenergy</b:JournalName>
    <b:Year>2010</b:Year>
    <b:Pages>1838-1854</b:Pages>
    <b:RefOrder>29</b:RefOrder>
  </b:Source>
  <b:Source>
    <b:Tag>Fer17</b:Tag>
    <b:SourceType>JournalArticle</b:SourceType>
    <b:Guid>{72518B28-2714-42FF-82BE-98AEFE694419}</b:Guid>
    <b:Author>
      <b:Author>
        <b:NameList>
          <b:Person>
            <b:Last>Vega</b:Last>
            <b:First>Fernando</b:First>
          </b:Person>
          <b:Person>
            <b:Last>Cano</b:Last>
            <b:First>Mercedes</b:First>
          </b:Person>
          <b:Person>
            <b:Last>Gallego</b:Last>
            <b:First>Luz</b:First>
            <b:Middle>Marina</b:Middle>
          </b:Person>
          <b:Person>
            <b:Last>Camino</b:Last>
            <b:First>Sara</b:First>
          </b:Person>
          <b:Person>
            <b:Last>Camino</b:Last>
            <b:First>Jose</b:First>
            <b:Middle>Antonio</b:Middle>
          </b:Person>
          <b:Person>
            <b:Last>Navarrete</b:Last>
            <b:First>Benito</b:First>
          </b:Person>
        </b:NameList>
      </b:Author>
    </b:Author>
    <b:Title>Evaluation of MEA 5M performance at different CO2 concentrations of flue gas tested at a CO2 capture lab-scale plant</b:Title>
    <b:JournalName>Energy procedia</b:JournalName>
    <b:Year>2017</b:Year>
    <b:Pages>6222-6228</b:Pages>
    <b:LCID>en-US</b:LCID>
    <b:RefOrder>30</b:RefOrder>
  </b:Source>
  <b:Source>
    <b:Tag>Fer171</b:Tag>
    <b:SourceType>JournalArticle</b:SourceType>
    <b:Guid>{CD0386DE-94CF-4FF0-8D8E-B365271DE8B7}</b:Guid>
    <b:Author>
      <b:Author>
        <b:NameList>
          <b:Person>
            <b:Last>Vega</b:Last>
            <b:First>Fernando</b:First>
          </b:Person>
          <b:Person>
            <b:Last>Cano</b:Last>
            <b:First>Mercedes</b:First>
          </b:Person>
          <b:Person>
            <b:Last>Portillo</b:Last>
            <b:First>Esmeralda</b:First>
          </b:Person>
          <b:Person>
            <b:Last>Camino</b:Last>
            <b:First>Sara</b:First>
          </b:Person>
          <b:Person>
            <b:Last>Camino</b:Last>
            <b:First>Jose</b:First>
            <b:Middle>Antonio</b:Middle>
          </b:Person>
          <b:Person>
            <b:Last>Rubia</b:Last>
            <b:First>Benito</b:First>
            <b:Middle>Navarrete</b:Middle>
          </b:Person>
        </b:NameList>
      </b:Author>
    </b:Author>
    <b:Title>Kinetic characterization of solvents for CO2 capture under partial oxy-combustion conditions</b:Title>
    <b:JournalName>Energy procedia</b:JournalName>
    <b:Year>2017</b:Year>
    <b:Pages>2055-2060</b:Pages>
    <b:LCID>en-US</b:LCID>
    <b:RefOrder>31</b:RefOrder>
  </b:Source>
  <b:Source>
    <b:Tag>Mir13</b:Tag>
    <b:SourceType>JournalArticle</b:SourceType>
    <b:Guid>{AB1F194B-4253-4B4E-958F-7960D5ACD79B}</b:Guid>
    <b:LCID>en-US</b:LCID>
    <b:Author>
      <b:Author>
        <b:NameList>
          <b:Person>
            <b:Last>Yoo</b:Last>
            <b:First>Miran</b:First>
          </b:Person>
          <b:Person>
            <b:Last>Han</b:Last>
            <b:First>Sang-Jun</b:First>
          </b:Person>
          <b:Person>
            <b:Last>Wee</b:Last>
            <b:First>Jung-Ho</b:First>
          </b:Person>
        </b:NameList>
      </b:Author>
    </b:Author>
    <b:Title>Carbon dioxide capture capacity of sodium hydroxide aqueous solution</b:Title>
    <b:JournalName>Journal of Environmental Management</b:JournalName>
    <b:Year>2013</b:Year>
    <b:Pages>512-519</b:Pages>
    <b:RefOrder>32</b:RefOrder>
  </b:Source>
  <b:Source>
    <b:Tag>Mar09</b:Tag>
    <b:SourceType>JournalArticle</b:SourceType>
    <b:Guid>{B0C7973D-88D7-42A7-BD9E-251044B4740C}</b:Guid>
    <b:LCID>en-US</b:LCID>
    <b:Author>
      <b:Author>
        <b:NameList>
          <b:Person>
            <b:Last>Mahmoudkhani</b:Last>
            <b:First>Maryam</b:First>
          </b:Person>
          <b:Person>
            <b:Last>Keith</b:Last>
            <b:First>David</b:First>
            <b:Middle>W.</b:Middle>
          </b:Person>
        </b:NameList>
      </b:Author>
    </b:Author>
    <b:Title>Low-energy sodium hydroxide recovery for CO2 capture from atmospheric air-Thermodynamic analysis</b:Title>
    <b:JournalName>International Journal of Greenhouse Gas Control</b:JournalName>
    <b:Year>2009</b:Year>
    <b:Pages>376-384</b:Pages>
    <b:RefOrder>33</b:RefOrder>
  </b:Source>
  <b:Source>
    <b:Tag>JBT13</b:Tag>
    <b:SourceType>JournalArticle</b:SourceType>
    <b:Guid>{CFFC8E47-B424-4141-BA6B-EA8C658E7E6C}</b:Guid>
    <b:LCID>en-US</b:LCID>
    <b:Author>
      <b:Author>
        <b:NameList>
          <b:Person>
            <b:Last>Tepe</b:Last>
            <b:First>J.B.</b:First>
          </b:Person>
          <b:Person>
            <b:Last>Dodge</b:Last>
            <b:First>B.F.</b:First>
          </b:Person>
        </b:NameList>
      </b:Author>
    </b:Author>
    <b:Title>Absorption of carbon dioxide by sodium hydroxide solutions in a packed column</b:Title>
    <b:JournalName>Transactions of the American Institute of Chemical Engineers</b:JournalName>
    <b:Year>2013</b:Year>
    <b:Pages>255-276</b:Pages>
    <b:RefOrder>34</b:RefOrder>
  </b:Source>
  <b:Source>
    <b:Tag>Jos08</b:Tag>
    <b:SourceType>JournalArticle</b:SourceType>
    <b:Guid>{701CF643-C54B-405D-AB78-2E4425D45DFB}</b:Guid>
    <b:Author>
      <b:Author>
        <b:NameList>
          <b:Person>
            <b:Last>Stolaroff</b:Last>
            <b:First>Joshuah</b:First>
            <b:Middle>K.</b:Middle>
          </b:Person>
          <b:Person>
            <b:Last>Keith</b:Last>
            <b:First>David</b:First>
            <b:Middle>W.</b:Middle>
          </b:Person>
          <b:Person>
            <b:Last>Lowry</b:Last>
            <b:First>Gregory</b:First>
            <b:Middle>V.</b:Middle>
          </b:Person>
        </b:NameList>
      </b:Author>
    </b:Author>
    <b:Title>Carbon dioxde capture from atmospheric air using sodium hydroxide spray</b:Title>
    <b:JournalName>Environmental Science Technology</b:JournalName>
    <b:Year>2008</b:Year>
    <b:Pages>2728-2735</b:Pages>
    <b:RefOrder>35</b:RefOrder>
  </b:Source>
  <b:Source>
    <b:Tag>PVD58</b:Tag>
    <b:SourceType>JournalArticle</b:SourceType>
    <b:Guid>{B7E5271A-7F65-41E0-8AEC-8AA40EE423FE}</b:Guid>
    <b:LCID>en-US</b:LCID>
    <b:Author>
      <b:Author>
        <b:NameList>
          <b:Person>
            <b:Last>Danckwerts</b:Last>
            <b:First>P.V.</b:First>
          </b:Person>
          <b:Person>
            <b:Last>Kennedy</b:Last>
            <b:First>A.M.</b:First>
          </b:Person>
        </b:NameList>
      </b:Author>
    </b:Author>
    <b:Title>The kinetics of absorption of carbon dioxide into neutral and alkaline solutions</b:Title>
    <b:JournalName>Chemical Engineering Science</b:JournalName>
    <b:Year>1958</b:Year>
    <b:Pages>201-215</b:Pages>
    <b:RefOrder>36</b:RefOrder>
  </b:Source>
  <b:Source>
    <b:Tag>MMa09</b:Tag>
    <b:SourceType>JournalArticle</b:SourceType>
    <b:Guid>{8D31867D-41DF-47BB-933B-7DF59393B892}</b:Guid>
    <b:LCID>en-US</b:LCID>
    <b:Author>
      <b:Author>
        <b:NameList>
          <b:Person>
            <b:Last>Mahmoudkhani</b:Last>
            <b:First>M.</b:First>
          </b:Person>
          <b:Person>
            <b:Last>Heidel</b:Last>
            <b:First>K.R.</b:First>
          </b:Person>
          <b:Person>
            <b:Last>Ferreira</b:Last>
            <b:First>J.C.</b:First>
          </b:Person>
          <b:Person>
            <b:Last>Keith</b:Last>
            <b:First>D.W.</b:First>
          </b:Person>
          <b:Person>
            <b:Last>Cherry</b:Last>
            <b:First>R.S.</b:First>
          </b:Person>
        </b:NameList>
      </b:Author>
    </b:Author>
    <b:Title>Low energy packed tower and caustic recovery for direct capture of CO2 from air</b:Title>
    <b:JournalName>Energy Procedia</b:JournalName>
    <b:Year>2009</b:Year>
    <b:Pages>1535-1542</b:Pages>
    <b:RefOrder>37</b:RefOrder>
  </b:Source>
  <b:Source>
    <b:Tag>Ren13</b:Tag>
    <b:SourceType>JournalArticle</b:SourceType>
    <b:Guid>{7DFDC36B-860D-4F87-B70A-52480AE756FE}</b:Guid>
    <b:LCID>en-US</b:LCID>
    <b:Author>
      <b:Author>
        <b:NameList>
          <b:Person>
            <b:Last>Baciocchi</b:Last>
            <b:First>Renato</b:First>
          </b:Person>
          <b:Person>
            <b:Last>Carnevale</b:Last>
            <b:First>Ennio</b:First>
          </b:Person>
          <b:Person>
            <b:Last>Costa</b:Last>
            <b:First>Giulia</b:First>
          </b:Person>
          <b:Person>
            <b:Last>Gavasci</b:Last>
            <b:First>Renato</b:First>
          </b:Person>
          <b:Person>
            <b:Last>Lombardi</b:Last>
            <b:First>Lidia</b:First>
          </b:Person>
          <b:Person>
            <b:Last>Olivieri</b:Last>
            <b:First>Tommaso</b:First>
          </b:Person>
          <b:Person>
            <b:Last>Zanchi</b:Last>
            <b:First>Laura</b:First>
          </b:Person>
          <b:Person>
            <b:Last>Zingaretti</b:Last>
            <b:First>Daniela</b:First>
          </b:Person>
        </b:NameList>
      </b:Author>
    </b:Author>
    <b:Title>Performance of biogas upgrading process based on alkali absorption with regeneration using air pollution control residues</b:Title>
    <b:JournalName>Waste Management</b:JournalName>
    <b:Year>2013</b:Year>
    <b:Pages>2694-2705</b:Pages>
    <b:RefOrder>38</b:RefOrder>
  </b:Source>
  <b:Source>
    <b:Tag>Lid11</b:Tag>
    <b:SourceType>JournalArticle</b:SourceType>
    <b:Guid>{068C7142-EE29-41A4-84F1-D270C1F6AC48}</b:Guid>
    <b:LCID>en-US</b:LCID>
    <b:Author>
      <b:Author>
        <b:NameList>
          <b:Person>
            <b:Last>Lombardi</b:Last>
            <b:First>Lidia</b:First>
          </b:Person>
          <b:Person>
            <b:Last>Corti</b:Last>
            <b:First>Andrea</b:First>
          </b:Person>
          <b:Person>
            <b:Last>Carnevale</b:Last>
            <b:First>Ennio</b:First>
          </b:Person>
          <b:Person>
            <b:Last>Baciocchi</b:Last>
            <b:First>Renato</b:First>
          </b:Person>
          <b:Person>
            <b:Last>Zingaretti</b:Last>
            <b:First>Daniela</b:First>
          </b:Person>
        </b:NameList>
      </b:Author>
    </b:Author>
    <b:Title>Carbon dioxide removal and capture for landfill gas up-grading</b:Title>
    <b:JournalName>Energy procedia</b:JournalName>
    <b:Year>2011</b:Year>
    <b:Pages>465-472</b:Pages>
    <b:RefOrder>39</b:RefOrder>
  </b:Source>
  <b:Source>
    <b:Tag>Fou16</b:Tag>
    <b:SourceType>JournalArticle</b:SourceType>
    <b:Guid>{D2AF262F-BBC4-462C-8AD3-3873250AE92C}</b:Guid>
    <b:LCID>en-US</b:LCID>
    <b:Author>
      <b:Author>
        <b:NameList>
          <b:Person>
            <b:Last>Abdeen</b:Last>
            <b:First>Fouad</b:First>
            <b:Middle>R.H.</b:Middle>
          </b:Person>
          <b:Person>
            <b:Last>Mel</b:Last>
            <b:First>Maizirwan</b:First>
          </b:Person>
          <b:Person>
            <b:Last>Jami</b:Last>
            <b:First>Mohammed</b:First>
            <b:Middle>Saedi</b:Middle>
          </b:Person>
          <b:Person>
            <b:Last>Ihsan</b:Last>
            <b:First>Sany</b:First>
            <b:Middle>Izan</b:Middle>
          </b:Person>
          <b:Person>
            <b:Last>Ismail</b:Last>
            <b:First>Asmad</b:First>
            <b:Middle>Faris</b:Middle>
          </b:Person>
        </b:NameList>
      </b:Author>
    </b:Author>
    <b:Title>A review of chemical absorption of carbon dioxide for biogas upgrading</b:Title>
    <b:JournalName>Chinese Journal of Chemical Engineering</b:JournalName>
    <b:Year>2016</b:Year>
    <b:Pages>693-702</b:Pages>
    <b:RefOrder>40</b:RefOrder>
  </b:Source>
  <b:Source>
    <b:Tag>Lid13</b:Tag>
    <b:SourceType>JournalArticle</b:SourceType>
    <b:Guid>{27893FDC-32C8-4AED-8950-312CC65D545D}</b:Guid>
    <b:LCID>en-US</b:LCID>
    <b:Author>
      <b:Author>
        <b:NameList>
          <b:Person>
            <b:Last>Lombardi</b:Last>
            <b:First>Lidia</b:First>
          </b:Person>
          <b:Person>
            <b:Last>Carnavale</b:Last>
            <b:First>Ennio</b:First>
          </b:Person>
        </b:NameList>
      </b:Author>
    </b:Author>
    <b:Title>Economic evaluations of an innovative biogas upgrading method with CO2 storage</b:Title>
    <b:JournalName>Energy</b:JournalName>
    <b:Year>2013</b:Year>
    <b:Pages>88-94</b:Pages>
    <b:RefOrder>41</b:RefOrder>
  </b:Source>
  <b:Source>
    <b:Tag>Ren11</b:Tag>
    <b:SourceType>JournalArticle</b:SourceType>
    <b:Guid>{C49825F7-80FB-44CC-8F0B-B365661DA3CC}</b:Guid>
    <b:LCID>en-US</b:LCID>
    <b:Author>
      <b:Author>
        <b:NameList>
          <b:Person>
            <b:Last>Baciocchi</b:Last>
            <b:First>Renato</b:First>
          </b:Person>
          <b:Person>
            <b:Last>Corti</b:Last>
            <b:First>Andrea</b:First>
          </b:Person>
          <b:Person>
            <b:Last>Costa</b:Last>
            <b:First>Giulia</b:First>
          </b:Person>
          <b:Person>
            <b:Last>Lombardi</b:Last>
            <b:First>Lidia</b:First>
          </b:Person>
          <b:Person>
            <b:Last>Zingaretti</b:Last>
            <b:First>Daniela</b:First>
          </b:Person>
        </b:NameList>
      </b:Author>
    </b:Author>
    <b:Title>Storage of carbon dioxide capture in a pilot-scale biogas upgrading plant by accelerated carbonation of industrial residues</b:Title>
    <b:JournalName>Energy Procedia</b:JournalName>
    <b:Year>2011</b:Year>
    <b:Pages>4985-4992</b:Pages>
    <b:RefOrder>42</b:RefOrder>
  </b:Source>
  <b:Source>
    <b:Tag>DuR</b:Tag>
    <b:SourceType>JournalArticle</b:SourceType>
    <b:Guid>{DEA9D30F-3BCE-40BD-A71D-851DA5794260}</b:Guid>
    <b:LCID>en-US</b:LCID>
    <b:Author>
      <b:Author>
        <b:NameList>
          <b:Person>
            <b:Last>Han</b:Last>
            <b:First>Du-Re</b:First>
          </b:Person>
          <b:Person>
            <b:Last>Namkung</b:Last>
            <b:First>Hueon</b:First>
          </b:Person>
          <b:Person>
            <b:Last>Lee</b:Last>
            <b:First>Ha-Min</b:First>
          </b:Person>
          <b:Person>
            <b:Last>Huh</b:Last>
            <b:First>Dae-Gee</b:First>
          </b:Person>
          <b:Person>
            <b:Last>Kim</b:Last>
            <b:First>Hyung-Taek</b:First>
          </b:Person>
        </b:NameList>
      </b:Author>
    </b:Author>
    <b:Title>CO2 sequestration by aqueous mineral carbonation of limestone in a supercritical reactor</b:Title>
    <b:JournalName>Journal of Industrial and Engineering Chemistry</b:JournalName>
    <b:Year>2015</b:Year>
    <b:Pages>792-796</b:Pages>
    <b:RefOrder>43</b:RefOrder>
  </b:Source>
  <b:Source>
    <b:Tag>JBl11</b:Tag>
    <b:SourceType>JournalArticle</b:SourceType>
    <b:Guid>{00DE9506-C880-4F43-A7D4-9FB03A22CD17}</b:Guid>
    <b:LCID>en-US</b:LCID>
    <b:Author>
      <b:Author>
        <b:NameList>
          <b:Person>
            <b:Last>Blamey</b:Last>
            <b:First>J.</b:First>
          </b:Person>
          <b:Person>
            <b:Last>N.P.</b:Last>
          </b:Person>
          <b:Person>
            <b:Last>Paterson</b:Last>
            <b:First>.</b:First>
          </b:Person>
          <b:Person>
            <b:Last>Dugwell</b:Last>
            <b:First>D.R.</b:First>
          </b:Person>
          <b:Person>
            <b:Last>Stevenson</b:Last>
            <b:First>P.</b:First>
          </b:Person>
          <b:Person>
            <b:Last>Fennell</b:Last>
            <b:First>P.S.</b:First>
          </b:Person>
        </b:NameList>
      </b:Author>
    </b:Author>
    <b:Title>Reactivation of CaO-based sorbent for CO2 capture from stationary sources</b:Title>
    <b:JournalName>Proceedings of the Combustion Institute</b:JournalName>
    <b:Year>2011</b:Year>
    <b:Pages>2673-2681</b:Pages>
    <b:RefOrder>44</b:RefOrder>
  </b:Source>
  <b:Source>
    <b:Tag>San08</b:Tag>
    <b:SourceType>JournalArticle</b:SourceType>
    <b:Guid>{60EB460E-020B-4A00-818A-B8654C69F521}</b:Guid>
    <b:LCID>en-US</b:LCID>
    <b:Author>
      <b:Author>
        <b:NameList>
          <b:Person>
            <b:Last>Kentish</b:Last>
            <b:First>Sandra</b:First>
            <b:Middle>E.</b:Middle>
          </b:Person>
          <b:Person>
            <b:Last>Scholes</b:Last>
            <b:First>Colin</b:First>
            <b:Middle>A.</b:Middle>
          </b:Person>
          <b:Person>
            <b:Last>Stevens.</b:Last>
            <b:First>Geoff</b:First>
            <b:Middle>W.</b:Middle>
          </b:Person>
        </b:NameList>
      </b:Author>
    </b:Author>
    <b:Title>Carbon dioxide separation through polymeric membrane systems for flue gas applications</b:Title>
    <b:JournalName>Recent Patents on Chemical Engineering. Vol.1</b:JournalName>
    <b:Year>2008</b:Year>
    <b:Pages>52-66</b:Pages>
    <b:RefOrder>45</b:RefOrder>
  </b:Source>
  <b:Source>
    <b:Tag>Lan06</b:Tag>
    <b:SourceType>JournalArticle</b:SourceType>
    <b:Guid>{576B5B7F-1B7C-4334-AD9B-4E40E7E5370B}</b:Guid>
    <b:LCID>en-US</b:LCID>
    <b:Author>
      <b:Author>
        <b:NameList>
          <b:Person>
            <b:Last>Jiang</b:Last>
            <b:First>Lan</b:First>
            <b:Middle>Ying</b:Middle>
          </b:Person>
          <b:Person>
            <b:Last>Chung</b:Last>
            <b:First>Tai</b:First>
            <b:Middle>Shung</b:Middle>
          </b:Person>
          <b:Person>
            <b:Last>Kulprathipanja</b:Last>
            <b:First>Santi</b:First>
          </b:Person>
        </b:NameList>
      </b:Author>
    </b:Author>
    <b:Title>An investigation to revitalize the separation performance of hollow fibers with a thin mixed matrix composite skin for gas separation</b:Title>
    <b:JournalName>Journal of Membran Sciencie. Vol. 276.</b:JournalName>
    <b:Year>2006</b:Year>
    <b:Pages>113-125</b:Pages>
    <b:RefOrder>46</b:RefOrder>
  </b:Source>
  <b:Source>
    <b:Tag>Ric08</b:Tag>
    <b:SourceType>JournalArticle</b:SourceType>
    <b:Guid>{B240CA0D-A920-45EF-9CCA-76A21595EA78}</b:Guid>
    <b:Author>
      <b:Author>
        <b:NameList>
          <b:Person>
            <b:Last>Baker</b:Last>
            <b:First>Richard</b:First>
            <b:Middle>W.</b:Middle>
          </b:Person>
          <b:Person>
            <b:Last>Lokhandwala</b:Last>
            <b:First>Kaaeid</b:First>
          </b:Person>
        </b:NameList>
      </b:Author>
    </b:Author>
    <b:Title>Natural Gas Processing with Membranes: An Overview.</b:Title>
    <b:JournalName>Industrial Engineering Chemistry Research. Vol. 47.</b:JournalName>
    <b:Year>2008</b:Year>
    <b:Pages>2109-2121</b:Pages>
    <b:RefOrder>47</b:RefOrder>
  </b:Source>
  <b:Source>
    <b:Tag>MHa07</b:Tag>
    <b:SourceType>JournalArticle</b:SourceType>
    <b:Guid>{9732AA40-9A88-4E4B-84AB-9C2533E9156C}</b:Guid>
    <b:Author>
      <b:Author>
        <b:NameList>
          <b:Person>
            <b:Last>Harasimowicz</b:Last>
            <b:First>M.</b:First>
          </b:Person>
          <b:Person>
            <b:Last>Orluk</b:Last>
            <b:First>P.</b:First>
          </b:Person>
          <b:Person>
            <b:Last>Zkrewska-Trznadel</b:Last>
            <b:First>G.</b:First>
          </b:Person>
          <b:Person>
            <b:Last>Chmielewski</b:Last>
            <b:First>A.G.</b:First>
          </b:Person>
        </b:NameList>
      </b:Author>
    </b:Author>
    <b:Title>Application of polyimide membranes for biogas purification and enrichment</b:Title>
    <b:JournalName>Journal of Hazardous Materials. Vol. 144.</b:JournalName>
    <b:Year>2007</b:Year>
    <b:Pages>698-702</b:Pages>
    <b:RefOrder>48</b:RefOrder>
  </b:Source>
  <b:Source>
    <b:Tag>Llo91</b:Tag>
    <b:SourceType>JournalArticle</b:SourceType>
    <b:Guid>{DEBBF2F5-E39F-4450-826A-31EF0A7478E2}</b:Guid>
    <b:LCID>en-US</b:LCID>
    <b:Author>
      <b:Author>
        <b:NameList>
          <b:Person>
            <b:Last>Robeson</b:Last>
            <b:First>Lloyd</b:First>
            <b:Middle>M.</b:Middle>
          </b:Person>
        </b:NameList>
      </b:Author>
    </b:Author>
    <b:Title>Correlation of separation factor versus permeability for polymeric membranes</b:Title>
    <b:JournalName>Journal of Membrane Science. Vol. 62.</b:JournalName>
    <b:Year>1991</b:Year>
    <b:Pages>165-185</b:Pages>
    <b:RefOrder>49</b:RefOrder>
  </b:Source>
  <b:Source>
    <b:Tag>Dia14</b:Tag>
    <b:SourceType>JournalArticle</b:SourceType>
    <b:Guid>{EA409F46-78FB-43C8-8A7A-190E06F4AAE0}</b:Guid>
    <b:LCID>en-US</b:LCID>
    <b:Author>
      <b:Author>
        <b:NameList>
          <b:Person>
            <b:Last>Andriani</b:Last>
            <b:First>Dian</b:First>
          </b:Person>
          <b:Person>
            <b:Last>Wresta</b:Last>
            <b:First>Arini</b:First>
          </b:Person>
          <b:Person>
            <b:Last>Atmaja</b:Last>
            <b:First>Tinton</b:First>
            <b:Middle>Dwi</b:Middle>
          </b:Person>
          <b:Person>
            <b:Last>Saepudin</b:Last>
            <b:First>Aep</b:First>
          </b:Person>
        </b:NameList>
      </b:Author>
    </b:Author>
    <b:Title>A review on optimization production and upgrading biogas through CO2 removal using various techniques.</b:Title>
    <b:JournalName>Applied Biochemistry and Biotechnology. Vol. 172.</b:JournalName>
    <b:Year>2014</b:Year>
    <b:Pages>1909-1928</b:Pages>
    <b:RefOrder>50</b:RefOrder>
  </b:Source>
  <b:Source>
    <b:Tag>Eli11</b:Tag>
    <b:SourceType>JournalArticle</b:SourceType>
    <b:Guid>{B6813744-9035-4752-940B-303986A3DCB9}</b:Guid>
    <b:LCID>en-US</b:LCID>
    <b:Author>
      <b:Author>
        <b:NameList>
          <b:Person>
            <b:Last>Ryckebosch</b:Last>
            <b:First>Eline</b:First>
          </b:Person>
          <b:Person>
            <b:Last>Drouillon</b:Last>
            <b:First>Margriet</b:First>
          </b:Person>
          <b:Person>
            <b:Last>Vervaeren</b:Last>
            <b:First>Han</b:First>
          </b:Person>
        </b:NameList>
      </b:Author>
    </b:Author>
    <b:Title>Techniques for transformation of biogas to biomethane</b:Title>
    <b:JournalName>Biomass &amp; Bioenergy. Vol. 35.</b:JournalName>
    <b:Year>2011</b:Year>
    <b:Pages>1633-1645</b:Pages>
    <b:RefOrder>51</b:RefOrder>
  </b:Source>
  <b:Source>
    <b:Tag>Qie15</b:Tag>
    <b:SourceType>JournalArticle</b:SourceType>
    <b:Guid>{B167F134-5E8C-4CBD-A070-A4206BA9017C}</b:Guid>
    <b:LCID>en-US</b:LCID>
    <b:Author>
      <b:Author>
        <b:NameList>
          <b:Person>
            <b:Last>Sun</b:Last>
            <b:First>Qie</b:First>
          </b:Person>
          <b:Person>
            <b:Last>Li</b:Last>
            <b:First>Hailong</b:First>
          </b:Person>
          <b:Person>
            <b:Last>Yan</b:Last>
            <b:First>Jinying</b:First>
          </b:Person>
          <b:Person>
            <b:Last>Liu</b:Last>
            <b:First>Longcheng</b:First>
          </b:Person>
          <b:Person>
            <b:Last>Yu</b:Last>
            <b:First>Zhixin</b:First>
          </b:Person>
          <b:Person>
            <b:Last>Yu</b:Last>
            <b:First>Xinhai</b:First>
          </b:Person>
        </b:NameList>
      </b:Author>
    </b:Author>
    <b:Title>Selection of appropiate biogas upgrading technology - A review of biogas cleaning, upgrading and utilisation</b:Title>
    <b:JournalName>Renewable and Sustainable Energy Reviews. Vol. 51.</b:JournalName>
    <b:Year>2015</b:Year>
    <b:Pages>521-532</b:Pages>
    <b:RefOrder>52</b:RefOrder>
  </b:Source>
  <b:Source>
    <b:Tag>Rah17</b:Tag>
    <b:SourceType>JournalArticle</b:SourceType>
    <b:Guid>{A520B233-4788-424F-AFB3-CA5840B09B3D}</b:Guid>
    <b:LCID>en-US</b:LCID>
    <b:Author>
      <b:Author>
        <b:NameList>
          <b:Person>
            <b:Last>Kadam</b:Last>
            <b:First>Rahul</b:First>
          </b:Person>
          <b:Person>
            <b:Last>Panwar</b:Last>
            <b:First>N.L.</b:First>
          </b:Person>
        </b:NameList>
      </b:Author>
    </b:Author>
    <b:Title>Recent advancement in biogas enrichment and its applications</b:Title>
    <b:JournalName>Renewable and Sustainable Energy Reviews</b:JournalName>
    <b:Year>2017</b:Year>
    <b:Pages>892-903</b:Pages>
    <b:RefOrder>53</b:RefOrder>
  </b:Source>
  <b:Source>
    <b:Tag>Bau13</b:Tag>
    <b:SourceType>Report</b:SourceType>
    <b:Guid>{4F45B614-FCA3-409C-94A8-0EE8AEE43738}</b:Guid>
    <b:Author>
      <b:Author>
        <b:NameList>
          <b:Person>
            <b:Last>Bauer</b:Last>
            <b:First>Fredric</b:First>
          </b:Person>
          <b:Person>
            <b:Last>Hultenberg</b:Last>
            <b:First>Christian</b:First>
          </b:Person>
          <b:Person>
            <b:Last>Persson</b:Last>
            <b:First>Tobias</b:First>
          </b:Person>
          <b:Person>
            <b:Last>Tamm</b:Last>
            <b:First>Daniel</b:First>
          </b:Person>
        </b:NameList>
      </b:Author>
    </b:Author>
    <b:Title>Biogas upgrading – Review of commercial technologies</b:Title>
    <b:Year>2013</b:Year>
    <b:Publisher>SGC Rapport</b:Publisher>
    <b:City>Sweden</b:City>
    <b:RefOrder>54</b:RefOrder>
  </b:Source>
  <b:Source>
    <b:Tag>Zon11</b:Tag>
    <b:SourceType>JournalArticle</b:SourceType>
    <b:Guid>{036CADA0-D8DF-4635-95AD-554E1A3D5C46}</b:Guid>
    <b:LCID>en-US</b:LCID>
    <b:Author>
      <b:Author>
        <b:NameList>
          <b:Person>
            <b:Last>Bao</b:Last>
            <b:First>Zongbi</b:First>
          </b:Person>
          <b:Person>
            <b:Last>Yu</b:Last>
            <b:First>Liang</b:First>
          </b:Person>
          <b:Person>
            <b:Last>Ren</b:Last>
            <b:First>Qilong</b:First>
          </b:Person>
          <b:Person>
            <b:Last>Lu</b:Last>
            <b:First>Xiuyang</b:First>
          </b:Person>
          <b:Person>
            <b:Last>Deng</b:Last>
            <b:First>Shuguand</b:First>
          </b:Person>
        </b:NameList>
      </b:Author>
    </b:Author>
    <b:Title>Adsorption of CO2 and CH4 on a magnesium-based metal organic framework</b:Title>
    <b:JournalName>Journal of Colloid and Interface Science</b:JournalName>
    <b:Year>2011</b:Year>
    <b:Pages>549-556</b:Pages>
    <b:RefOrder>55</b:RefOrder>
  </b:Source>
  <b:Source>
    <b:Tag>Coz13</b:Tag>
    <b:SourceType>JournalArticle</b:SourceType>
    <b:Guid>{9708F4C9-7C1E-4054-AF99-01AF4BD7F0A3}</b:Guid>
    <b:Author>
      <b:Author>
        <b:NameList>
          <b:Person>
            <b:Last>Cozma</b:Last>
            <b:First>Petronela</b:First>
          </b:Person>
          <b:Person>
            <b:Last>Ghinea</b:Last>
            <b:First>Cristina</b:First>
          </b:Person>
          <b:Person>
            <b:Last>Mamaliga</b:Last>
            <b:First>Ioan</b:First>
          </b:Person>
          <b:Person>
            <b:Last>Wukovits</b:Last>
            <b:First>Walter</b:First>
          </b:Person>
          <b:Person>
            <b:Last>Friedl</b:Last>
            <b:First>Anton</b:First>
          </b:Person>
          <b:Person>
            <b:Last>Favrilescu</b:Last>
            <b:First>Maria</b:First>
          </b:Person>
        </b:NameList>
      </b:Author>
    </b:Author>
    <b:Title>Environmental Impact Assessment of High Pressure Water Scrubbing Biogas Upgrading Technology</b:Title>
    <b:JournalName>Clean Soil Air Water</b:JournalName>
    <b:Year>2013</b:Year>
    <b:Pages>917-927</b:Pages>
    <b:LCID>en-US</b:LCID>
    <b:RefOrder>56</b:RefOrder>
  </b:Source>
  <b:Source>
    <b:Tag>Kui17</b:Tag>
    <b:SourceType>JournalArticle</b:SourceType>
    <b:Guid>{F9DA162B-FEDE-4A39-A10F-5CBD3D7FB14D}</b:Guid>
    <b:LCID>en-US</b:LCID>
    <b:Author>
      <b:Author>
        <b:NameList>
          <b:Person>
            <b:Last>Zhou</b:Last>
            <b:First>Kui</b:First>
          </b:Person>
          <b:Person>
            <b:Last>Chaemchuen</b:Last>
            <b:First>Somboon</b:First>
          </b:Person>
          <b:Person>
            <b:Last>Verpoort</b:Last>
            <b:First>Francis</b:First>
          </b:Person>
        </b:NameList>
      </b:Author>
    </b:Author>
    <b:Title>Alternative materials in technologies for Biogas upgrading via CO2 capture</b:Title>
    <b:JournalName>Renewable and Sustainable Energy Reviews</b:JournalName>
    <b:Year>2017</b:Year>
    <b:Pages>1414-1441</b:Pages>
    <b:RefOrder>57</b:RefOrder>
  </b:Source>
  <b:Source>
    <b:Tag>Jia09</b:Tag>
    <b:SourceType>JournalArticle</b:SourceType>
    <b:Guid>{72702BA7-676F-46DB-A3CE-7E164F930637}</b:Guid>
    <b:LCID>en-US</b:LCID>
    <b:Author>
      <b:Author>
        <b:NameList>
          <b:Person>
            <b:Last>Li</b:Last>
            <b:First>Jian-Rong</b:First>
          </b:Person>
          <b:Person>
            <b:Last>Kuppler</b:Last>
            <b:First>Ryan</b:First>
            <b:Middle>J.</b:Middle>
          </b:Person>
          <b:Person>
            <b:Last>Zhou</b:Last>
            <b:First>Hong-Cai</b:First>
          </b:Person>
        </b:NameList>
      </b:Author>
    </b:Author>
    <b:Title>Selective gas adsorption and separation in metal-organic framework</b:Title>
    <b:JournalName>Chemical Society Reviews. Vol. 38.</b:JournalName>
    <b:Year>2009</b:Year>
    <b:Pages>1477-1504</b:Pages>
    <b:RefOrder>58</b:RefOrder>
  </b:Source>
  <b:Source>
    <b:Tag>Qie151</b:Tag>
    <b:SourceType>JournalArticle</b:SourceType>
    <b:Guid>{531593EE-1BB5-436A-9B53-5B64041C59F4}</b:Guid>
    <b:LCID>en-US</b:LCID>
    <b:Author>
      <b:Author>
        <b:NameList>
          <b:Person>
            <b:Last>Sun</b:Last>
            <b:First>Qie</b:First>
          </b:Person>
          <b:Person>
            <b:Last>Li</b:Last>
            <b:First>Hailong</b:First>
          </b:Person>
          <b:Person>
            <b:Last>Yan</b:Last>
            <b:First>Jinying</b:First>
          </b:Person>
          <b:Person>
            <b:Last>Liu</b:Last>
            <b:First>Longcheng</b:First>
          </b:Person>
          <b:Person>
            <b:Last>Yu</b:Last>
            <b:First>Zhixin</b:First>
          </b:Person>
          <b:Person>
            <b:Last>Yu</b:Last>
            <b:First>Xinhai</b:First>
          </b:Person>
        </b:NameList>
      </b:Author>
    </b:Author>
    <b:Title>Selection of appropriate biogas upgrading technology - A review of biogas cleaning, upgrading and utilisation</b:Title>
    <b:JournalName>Renewable and Sustainable Energy Reviews. Vol. 51.</b:JournalName>
    <b:Year>2015</b:Year>
    <b:Pages>521-532</b:Pages>
    <b:RefOrder>59</b:RefOrder>
  </b:Source>
  <b:Source>
    <b:Tag>JLä12</b:Tag>
    <b:SourceType>JournalArticle</b:SourceType>
    <b:Guid>{0B93F1E2-FE2C-43B3-8CE6-7FC666F7DBC7}</b:Guid>
    <b:LCID>en-US</b:LCID>
    <b:Author>
      <b:Author>
        <b:NameList>
          <b:Person>
            <b:Last>Läntelä</b:Last>
            <b:First>J.</b:First>
          </b:Person>
          <b:Person>
            <b:Last>Rasi</b:Last>
            <b:First>S.</b:First>
          </b:Person>
          <b:Person>
            <b:Last>Lehtinen</b:Last>
            <b:First>J.</b:First>
          </b:Person>
          <b:Person>
            <b:Last>Rintala</b:Last>
            <b:First>J.</b:First>
          </b:Person>
        </b:NameList>
      </b:Author>
    </b:Author>
    <b:Title>Landfill gas upgrading with pilot-scale water scrubber: Performance assessment with absorption water recycling</b:Title>
    <b:JournalName>Applied Energy. Vol. 92</b:JournalName>
    <b:Year>2012</b:Year>
    <b:Pages>307-314</b:Pages>
    <b:RefOrder>60</b:RefOrder>
  </b:Source>
  <b:Source>
    <b:Tag>YuC12</b:Tag>
    <b:SourceType>JournalArticle</b:SourceType>
    <b:Guid>{D816BB7A-4E1B-4CB7-AD8A-2AA1D789861A}</b:Guid>
    <b:LCID>en-US</b:LCID>
    <b:Author>
      <b:Author>
        <b:NameList>
          <b:Person>
            <b:Last>Yu</b:Last>
            <b:First>C.-H.</b:First>
          </b:Person>
          <b:Person>
            <b:Last>Huan</b:Last>
            <b:First>C.-H.</b:First>
          </b:Person>
          <b:Person>
            <b:Last>Tan</b:Last>
            <b:First>C.-S.</b:First>
          </b:Person>
        </b:NameList>
      </b:Author>
    </b:Author>
    <b:Title>A review of CO2 capture by absorption and adsorption</b:Title>
    <b:JournalName>Aerosol and Air Quality Research. Vol. 12.</b:JournalName>
    <b:Year>2012</b:Year>
    <b:Pages>745-769</b:Pages>
    <b:RefOrder>61</b:RefOrder>
  </b:Source>
  <b:Source>
    <b:Tag>Hua14</b:Tag>
    <b:SourceType>JournalArticle</b:SourceType>
    <b:Guid>{B82B70E2-25A3-4254-8C7C-1DFB20CF6C43}</b:Guid>
    <b:LCID>en-US</b:LCID>
    <b:Author>
      <b:Author>
        <b:NameList>
          <b:Person>
            <b:Last>RNE</b:Last>
            <b:First>Huaman</b:First>
          </b:Person>
          <b:Person>
            <b:Last>TX</b:Last>
            <b:First>Jun</b:First>
          </b:Person>
        </b:NameList>
      </b:Author>
    </b:Author>
    <b:Title>Energy related CO2 emissions and the progress on CCS projects: a review.</b:Title>
    <b:JournalName>Renewable and Sustainable Energy Reviews. Vol. 31.</b:JournalName>
    <b:Year>2014</b:Year>
    <b:Pages>368-385</b:Pages>
    <b:RefOrder>62</b:RefOrder>
  </b:Source>
  <b:Source>
    <b:Tag>Joa17</b:Tag>
    <b:SourceType>JournalArticle</b:SourceType>
    <b:Guid>{AD8BFC46-CB7A-4AD3-A63D-76BA138B1D93}</b:Guid>
    <b:LCID>en-US</b:LCID>
    <b:Author>
      <b:Author>
        <b:NameList>
          <b:Person>
            <b:Last>Patricio</b:Last>
            <b:First>Joao</b:First>
          </b:Person>
          <b:Person>
            <b:Last>Angelis-Dimakis</b:Last>
            <b:First>Athanasios</b:First>
          </b:Person>
          <b:Person>
            <b:Last>Castillo-Castillo</b:Last>
            <b:First>Arturo</b:First>
          </b:Person>
          <b:Person>
            <b:Last>Kalmykova</b:Last>
            <b:First>Yuliya</b:First>
          </b:Person>
          <b:Person>
            <b:Last>Rosado</b:Last>
            <b:First>Leonardo</b:First>
          </b:Person>
        </b:NameList>
      </b:Author>
    </b:Author>
    <b:Title>Method to identify opportunities for CCU at regional level - Matching sources and receivers</b:Title>
    <b:JournalName>Journal of CO2 utilization. Vol. 22.</b:JournalName>
    <b:Year>2017</b:Year>
    <b:Pages>330-345</b:Pages>
    <b:RefOrder>63</b:RefOrder>
  </b:Source>
  <b:Source>
    <b:Tag>MMF15</b:Tag>
    <b:SourceType>JournalArticle</b:SourceType>
    <b:Guid>{C6C8CAC0-BEB8-4A51-A3CA-A27F13ADA2F2}</b:Guid>
    <b:LCID>en-US</b:LCID>
    <b:Author>
      <b:Author>
        <b:NameList>
          <b:Person>
            <b:Last>Hasan</b:Last>
            <b:First>M.M.</b:First>
            <b:Middle>Faruque</b:Middle>
          </b:Person>
          <b:Person>
            <b:Last>First</b:Last>
            <b:First>Eric</b:First>
            <b:Middle>L.</b:Middle>
          </b:Person>
          <b:Person>
            <b:Last>Boukouvala</b:Last>
            <b:First>Fani</b:First>
          </b:Person>
          <b:Person>
            <b:Last>Floudas</b:Last>
            <b:First>Christodoulos</b:First>
            <b:Middle>A.</b:Middle>
          </b:Person>
        </b:NameList>
      </b:Author>
    </b:Author>
    <b:Title>A multi-scale framework for CO2 capture, utilization and sequestration: CCUS and CCU.</b:Title>
    <b:JournalName>Computers &amp; Chemical Engineering. Vol. 81.</b:JournalName>
    <b:Year>2015</b:Year>
    <b:Pages>2-21</b:Pages>
    <b:RefOrder>64</b:RefOrder>
  </b:Source>
  <b:Source>
    <b:Tag>Yin17</b:Tag>
    <b:SourceType>JournalArticle</b:SourceType>
    <b:Guid>{E4ACCF99-3636-4E9A-A099-9C6E5C8E1F15}</b:Guid>
    <b:LCID>en-US</b:LCID>
    <b:Author>
      <b:Author>
        <b:NameList>
          <b:Person>
            <b:Last>Liu</b:Last>
            <b:First>Yinan</b:First>
          </b:Person>
          <b:Person>
            <b:Last>Deng</b:Last>
            <b:First>Shuai</b:First>
          </b:Person>
          <b:Person>
            <b:Last>Zhao</b:Last>
            <b:First>Ruikai</b:First>
          </b:Person>
          <b:Person>
            <b:Last>He</b:Last>
            <b:First>Junnan</b:First>
          </b:Person>
          <b:Person>
            <b:Last>Zhao</b:Last>
            <b:First>Li</b:First>
          </b:Person>
        </b:NameList>
      </b:Author>
    </b:Author>
    <b:Title>Energy-saving pathway exploration of CCS integrated with solar energy: A review of innovative concepts</b:Title>
    <b:JournalName>Renewable and Sustainable Energy Reviews. Vol. 77.</b:JournalName>
    <b:Year>2017</b:Year>
    <b:Pages>652-669</b:Pages>
    <b:RefOrder>65</b:RefOrder>
  </b:Source>
  <b:Source>
    <b:Tag>PWh00</b:Tag>
    <b:SourceType>Report</b:SourceType>
    <b:Guid>{4A652CE2-E7B0-4452-88D5-958B0C771CBE}</b:Guid>
    <b:Title>Biogas upgrading and utilisation. Energy from biological conversion of organic waste. Task 24.</b:Title>
    <b:Year>2000</b:Year>
    <b:LCID>en-US</b:LCID>
    <b:Author>
      <b:Author>
        <b:NameList>
          <b:Person>
            <b:Last>Wheeler</b:Last>
            <b:First>P</b:First>
          </b:Person>
          <b:Person>
            <b:Last>Jaatinen</b:Last>
            <b:First>T</b:First>
          </b:Person>
          <b:Person>
            <b:Last>Lindberg</b:Last>
            <b:First>A</b:First>
          </b:Person>
          <b:Person>
            <b:Last>Lundeberg</b:Last>
            <b:First>S</b:First>
          </b:Person>
          <b:Person>
            <b:Last>Holm-Nielsen</b:Last>
            <b:First>JB</b:First>
          </b:Person>
          <b:Person>
            <b:Last>Wellinger</b:Last>
            <b:First>A</b:First>
          </b:Person>
        </b:NameList>
      </b:Author>
    </b:Author>
    <b:Publisher>IEA bioenergy</b:Publisher>
    <b:City>Paris</b:City>
    <b:RefOrder>66</b:RefOrder>
  </b:Source>
  <b:Source>
    <b:Tag>Per06</b:Tag>
    <b:SourceType>Report</b:SourceType>
    <b:Guid>{88FA6F35-63DC-4A5A-A3FC-D8E1F9F12A21}</b:Guid>
    <b:LCID>en-US</b:LCID>
    <b:Author>
      <b:Author>
        <b:NameList>
          <b:Person>
            <b:Last>Persson</b:Last>
            <b:First>M</b:First>
          </b:Person>
          <b:Person>
            <b:Last>Jönsson</b:Last>
            <b:First>O</b:First>
          </b:Person>
          <b:Person>
            <b:Last>Wellinger</b:Last>
            <b:First>A</b:First>
          </b:Person>
        </b:NameList>
      </b:Author>
    </b:Author>
    <b:Title>Biogas upgrading to vehicle fuel standards and grid injection. Energy from biogas and Lanfill Gas.</b:Title>
    <b:Year>2006</b:Year>
    <b:City>Paris</b:City>
    <b:RefOrder>67</b:RefOrder>
  </b:Source>
  <b:Source>
    <b:Tag>Wei10</b:Tag>
    <b:SourceType>JournalArticle</b:SourceType>
    <b:Guid>{27743A3C-7F7A-479B-856C-31C25AE9C1E0}</b:Guid>
    <b:Title>Biogas production: current state and perspectives</b:Title>
    <b:Year>2010</b:Year>
    <b:LCID>en-US</b:LCID>
    <b:Author>
      <b:Author>
        <b:NameList>
          <b:Person>
            <b:Last>Weiland</b:Last>
            <b:First>P</b:First>
          </b:Person>
        </b:NameList>
      </b:Author>
    </b:Author>
    <b:JournalName>Applied Microbiological technology. Vol. 85.</b:JournalName>
    <b:Pages>849-860</b:Pages>
    <b:RefOrder>68</b:RefOrder>
  </b:Source>
  <b:Source>
    <b:Tag>Bek10</b:Tag>
    <b:SourceType>JournalArticle</b:SourceType>
    <b:Guid>{7ADF1055-C498-40A0-92E9-C5C0E4BF0D7B}</b:Guid>
    <b:LCID>en-US</b:LCID>
    <b:Author>
      <b:Author>
        <b:NameList>
          <b:Person>
            <b:Last>Bekkering</b:Last>
            <b:First>J</b:First>
          </b:Person>
          <b:Person>
            <b:Last>Broekhuis</b:Last>
            <b:First>A</b:First>
          </b:Person>
          <b:Person>
            <b:Last>Van Gemert</b:Last>
            <b:First>W</b:First>
          </b:Person>
        </b:NameList>
      </b:Author>
    </b:Author>
    <b:Title>Optimisation of a green gas supply chain - a review.</b:Title>
    <b:JournalName>Bioresour Technology. Vol. 101.</b:JournalName>
    <b:Year>2010</b:Year>
    <b:Pages>450-456</b:Pages>
    <b:RefOrder>69</b:RefOrder>
  </b:Source>
  <b:Source>
    <b:Tag>Sta12</b:Tag>
    <b:SourceType>JournalArticle</b:SourceType>
    <b:Guid>{56F47550-F805-4232-8713-B39DA7D2BA79}</b:Guid>
    <b:LCID>en-US</b:LCID>
    <b:Author>
      <b:Author>
        <b:NameList>
          <b:Person>
            <b:Last>Starr</b:Last>
            <b:First>K</b:First>
          </b:Person>
          <b:Person>
            <b:Last>Gabarrell</b:Last>
            <b:First>X</b:First>
          </b:Person>
          <b:Person>
            <b:Last>Villalba</b:Last>
            <b:First>G</b:First>
          </b:Person>
          <b:Person>
            <b:Last>Talens</b:Last>
            <b:First>L</b:First>
          </b:Person>
          <b:Person>
            <b:Last>Lombardi</b:Last>
            <b:First>L.</b:First>
          </b:Person>
        </b:NameList>
      </b:Author>
    </b:Author>
    <b:Title>Life cycle assessment of biogas upgrading technologies.</b:Title>
    <b:JournalName>Waste Managament. Vol. 32.</b:JournalName>
    <b:Year>2012</b:Year>
    <b:Pages>991-999</b:Pages>
    <b:RefOrder>70</b:RefOrder>
  </b:Source>
  <b:Source>
    <b:Tag>And12</b:Tag>
    <b:SourceType>Report</b:SourceType>
    <b:Guid>{A2276921-0312-4569-A5B5-4731C3CE6DC3}</b:Guid>
    <b:LCID>en-US</b:LCID>
    <b:Author>
      <b:Author>
        <b:NameList>
          <b:Person>
            <b:Last>Anderson</b:Last>
            <b:First>B</b:First>
          </b:Person>
          <b:Person>
            <b:Last>Montagnier</b:Last>
            <b:First>A</b:First>
          </b:Person>
        </b:NameList>
      </b:Author>
    </b:Author>
    <b:Title>Analysis of methane losses in a biogas production plant.</b:Title>
    <b:Year>2012</b:Year>
    <b:City>Sweden</b:City>
    <b:RefOrder>71</b:RefOrder>
  </b:Source>
  <b:Source>
    <b:Tag>Hid04</b:Tag>
    <b:SourceType>JournalArticle</b:SourceType>
    <b:Guid>{37848AA7-A532-4FC3-A598-8DC9889E0D30}</b:Guid>
    <b:Title>Energy consumption estimation for greenhouse gas separation processes by clathrate hydrate formation.</b:Title>
    <b:Year>2004</b:Year>
    <b:LCID>en-US</b:LCID>
    <b:Author>
      <b:Author>
        <b:NameList>
          <b:Person>
            <b:Last>Tajima</b:Last>
            <b:First>Hideo</b:First>
          </b:Person>
          <b:Person>
            <b:Last>Yamakasi</b:Last>
            <b:First>Akihiro</b:First>
          </b:Person>
          <b:Person>
            <b:Last>Kiyono</b:Last>
            <b:First>Fumio</b:First>
          </b:Person>
        </b:NameList>
      </b:Author>
    </b:Author>
    <b:JournalName>Energy. Vol. 29.</b:JournalName>
    <b:Pages>1713-1729</b:Pages>
    <b:RefOrder>72</b:RefOrder>
  </b:Source>
  <b:Source>
    <b:Tag>Mar01</b:Tag>
    <b:SourceType>Report</b:SourceType>
    <b:Guid>{2CD13D39-322E-4640-944C-9C9603FFA871}</b:Guid>
    <b:Title>Adding gas from biomass to the gas grid</b:Title>
    <b:Year>2001</b:Year>
    <b:LCID>en-US</b:LCID>
    <b:Author>
      <b:Author>
        <b:NameList>
          <b:Person>
            <b:Last>Hagen</b:Last>
            <b:First>Martin</b:First>
          </b:Person>
          <b:Person>
            <b:Last>Polman</b:Last>
            <b:First>Erik</b:First>
          </b:Person>
          <b:Person>
            <b:Last>Myken</b:Last>
            <b:First>Asger</b:First>
          </b:Person>
          <b:Person>
            <b:Last>Jensen</b:Last>
            <b:First>Jan</b:First>
          </b:Person>
          <b:Person>
            <b:Last>Jönsson</b:Last>
            <b:First>Owe</b:First>
          </b:Person>
          <b:Person>
            <b:Last>AB</b:Last>
            <b:First>Biomil</b:First>
          </b:Person>
          <b:Person>
            <b:Last>Dahl</b:Last>
            <b:First>Anders</b:First>
          </b:Person>
        </b:NameList>
      </b:Author>
    </b:Author>
    <b:City>Malmö</b:City>
    <b:RefOrder>73</b:RefOrder>
  </b:Source>
  <b:Source>
    <b:Tag>MJC11</b:Tag>
    <b:SourceType>JournalArticle</b:SourceType>
    <b:Guid>{D0660590-ADFD-4C89-8D4C-3C06449E91E6}</b:Guid>
    <b:Title>Biomass upgrading by torrefaction for the production of biofuels: A review.</b:Title>
    <b:Year>2011</b:Year>
    <b:LCID>en-US</b:LCID>
    <b:Author>
      <b:Author>
        <b:NameList>
          <b:Person>
            <b:Last>Stelt</b:Last>
            <b:First>M.J.C.</b:First>
            <b:Middle>van der</b:Middle>
          </b:Person>
          <b:Person>
            <b:Last>Gerhauser</b:Last>
            <b:First>H.</b:First>
          </b:Person>
          <b:Person>
            <b:Last>Kiel</b:Last>
            <b:First>J.H.A.</b:First>
          </b:Person>
          <b:Person>
            <b:Last>Ptasinski</b:Last>
            <b:First>K.J.</b:First>
          </b:Person>
        </b:NameList>
      </b:Author>
    </b:Author>
    <b:JournalName>Biomass and Bioenergy. Vol. 35.</b:JournalName>
    <b:Pages>3748-3762</b:Pages>
    <b:RefOrder>74</b:RefOrder>
  </b:Source>
  <b:Source>
    <b:Tag>Jul16</b:Tag>
    <b:SourceType>JournalArticle</b:SourceType>
    <b:Guid>{DD64534E-D6B5-4445-AB1B-E9F02A06F025}</b:Guid>
    <b:LCID>en-US</b:LCID>
    <b:Author>
      <b:Author>
        <b:NameList>
          <b:Person>
            <b:Last>Ben-Iwo</b:Last>
            <b:First>Juliet</b:First>
          </b:Person>
          <b:Person>
            <b:Last>Manovic</b:Last>
            <b:First>Vasilije</b:First>
          </b:Person>
          <b:Person>
            <b:Last>Longhurst</b:Last>
            <b:First>Philip</b:First>
          </b:Person>
        </b:NameList>
      </b:Author>
    </b:Author>
    <b:Title>Biomass resources and biofuels potential for the production of transportation fuels in Nigeria</b:Title>
    <b:JournalName>Renewable and Sustainable Energy Reviews. Vol. 63</b:JournalName>
    <b:Year>2016</b:Year>
    <b:Pages>172-192</b:Pages>
    <b:RefOrder>75</b:RefOrder>
  </b:Source>
  <b:Source>
    <b:Tag>Eya18</b:Tag>
    <b:SourceType>JournalArticle</b:SourceType>
    <b:Guid>{9951345C-65F3-4548-A2DC-57ABE515B2C9}</b:Guid>
    <b:LCID>en-US</b:LCID>
    <b:Author>
      <b:Author>
        <b:NameList>
          <b:Person>
            <b:Last>Shuba</b:Last>
            <b:First>Eyasu</b:First>
            <b:Middle>Shumbulo</b:Middle>
          </b:Person>
          <b:Person>
            <b:Last>Kifle</b:Last>
            <b:First>Demeke</b:First>
          </b:Person>
        </b:NameList>
      </b:Author>
    </b:Author>
    <b:Title>Microalgae to biofuels: 'Promising' alternative and renewable energy, review.</b:Title>
    <b:JournalName>Renewable and Sustainable Energy Reviews. Vol. 81.</b:JournalName>
    <b:Year>2018</b:Year>
    <b:Pages>743-755</b:Pages>
    <b:RefOrder>76</b:RefOrder>
  </b:Source>
  <b:Source>
    <b:Tag>Dja17</b:Tag>
    <b:SourceType>JournalArticle</b:SourceType>
    <b:Guid>{7CBC6E87-2034-4EBB-80B4-3844DBDB809B}</b:Guid>
    <b:LCID>en-US</b:LCID>
    <b:Author>
      <b:Author>
        <b:NameList>
          <b:Person>
            <b:Last>Clercq</b:Last>
            <b:First>Djavan</b:First>
            <b:Middle>De</b:Middle>
          </b:Person>
          <b:Person>
            <b:Last>Wen</b:Last>
            <b:First>Zongguo</b:First>
          </b:Person>
          <b:Person>
            <b:Last>Gottfried</b:Last>
            <b:First>Oliver</b:First>
          </b:Person>
          <b:Person>
            <b:Last>Schmidt</b:Last>
            <b:First>Franziska</b:First>
          </b:Person>
          <b:Person>
            <b:Last>Fei</b:Last>
            <b:First>Fan</b:First>
          </b:Person>
        </b:NameList>
      </b:Author>
    </b:Author>
    <b:Title>A review of global strategies promoting the conversion of food waste to bioenergy via anaerobic digestion</b:Title>
    <b:JournalName>Renewable and Sustainable Energy Reviews. Vol. 79.</b:JournalName>
    <b:Year>2017</b:Year>
    <b:Pages>204-221</b:Pages>
    <b:RefOrder>77</b:RefOrder>
  </b:Source>
  <b:Source>
    <b:Tag>Arj16</b:Tag>
    <b:SourceType>JournalArticle</b:SourceType>
    <b:Guid>{28B403C2-9757-4CFE-A689-B80087C43D83}</b:Guid>
    <b:LCID>en-US</b:LCID>
    <b:Author>
      <b:Author>
        <b:NameList>
          <b:Person>
            <b:Last>Boersma</b:Last>
            <b:First>Arjen</b:First>
          </b:Person>
          <b:Person>
            <b:Last>Sweelsen</b:Last>
            <b:First>Jörgen</b:First>
          </b:Person>
          <b:Person>
            <b:Last>Blokland</b:Last>
            <b:First>Huib</b:First>
          </b:Person>
        </b:NameList>
      </b:Author>
    </b:Author>
    <b:Title>Gas Composition Sensor for Natural Gas and Biogas</b:Title>
    <b:JournalName>Procedia Engineering. Vol. 168.</b:JournalName>
    <b:Year>2016</b:Year>
    <b:Pages>197-200</b:Pages>
    <b:RefOrder>78</b:RefOrder>
  </b:Source>
  <b:Source>
    <b:Tag>Poh18</b:Tag>
    <b:SourceType>JournalArticle</b:SourceType>
    <b:Guid>{AFE7C37B-1AA6-4363-8FCB-5BF58597310B}</b:Guid>
    <b:LCID>en-US</b:LCID>
    <b:Author>
      <b:Author>
        <b:NameList>
          <b:Person>
            <b:Last>Hoo</b:Last>
            <b:First>Poh</b:First>
            <b:Middle>Ying</b:Middle>
          </b:Person>
          <b:Person>
            <b:Last>Hashim</b:Last>
            <b:First>Haslenda</b:First>
          </b:Person>
          <b:Person>
            <b:Last>Ho</b:Last>
            <b:First>Wai</b:First>
            <b:Middle>Shin</b:Middle>
          </b:Person>
        </b:NameList>
      </b:Author>
    </b:Author>
    <b:Title>Opportunities and challenges: Landfill gas to biomethane injection into natural gas distribution grid through pipeline</b:Title>
    <b:JournalName>Journal of Cleaner Production. Vol. 175.</b:JournalName>
    <b:Year>2018</b:Year>
    <b:Pages>409-419</b:Pages>
    <b:RefOrder>79</b:RefOrder>
  </b:Source>
  <b:Source>
    <b:Tag>Nas18</b:Tag>
    <b:SourceType>JournalArticle</b:SourceType>
    <b:Guid>{1F55E253-DEAB-42FC-AF98-68B83DBBFB4A}</b:Guid>
    <b:LCID>en-US</b:LCID>
    <b:Author>
      <b:Author>
        <b:NameList>
          <b:Person>
            <b:Last>Pour</b:Last>
            <b:First>Nasim</b:First>
          </b:Person>
          <b:Person>
            <b:Last>Webley</b:Last>
            <b:First>Paul</b:First>
            <b:Middle>A.</b:Middle>
          </b:Person>
          <b:Person>
            <b:Last>J.Cook</b:Last>
            <b:First>Peter</b:First>
          </b:Person>
        </b:NameList>
      </b:Author>
    </b:Author>
    <b:Title>Potential for using municipal solid waste as a resource for bioenergy with carbon capture and storage (BECCS)</b:Title>
    <b:JournalName>International Journal of Greenhouse Gas Control. Vol. 68.</b:JournalName>
    <b:Year>2018</b:Year>
    <b:Pages>1-15</b:Pages>
    <b:RefOrder>80</b:RefOrder>
  </b:Source>
  <b:Source>
    <b:Tag>RSa17</b:Tag>
    <b:SourceType>JournalArticle</b:SourceType>
    <b:Guid>{2225AB22-FA0C-4ED7-B652-B86655026E61}</b:Guid>
    <b:LCID>en-US</b:LCID>
    <b:Author>
      <b:Author>
        <b:NameList>
          <b:Person>
            <b:Last>Santagata</b:Last>
            <b:First>R.</b:First>
          </b:Person>
          <b:Person>
            <b:Last>Ripa</b:Last>
            <b:First>M.</b:First>
          </b:Person>
          <b:Person>
            <b:Last>Ulgiati</b:Last>
            <b:First>S.</b:First>
          </b:Person>
        </b:NameList>
      </b:Author>
    </b:Author>
    <b:Title>An environmental assessment of electricity production from slaughterhouse residues. Linking urban, industrial and waste management systems</b:Title>
    <b:JournalName>Applied Energy. Vol. 186.</b:JournalName>
    <b:Year>2017</b:Year>
    <b:Pages>175-188</b:Pages>
    <b:RefOrder>81</b:RefOrder>
  </b:Source>
  <b:Source>
    <b:Tag>Ros09</b:Tag>
    <b:SourceType>BookSection</b:SourceType>
    <b:Guid>{9F5F134F-D6DD-4328-A5E7-FBDCBBD5515C}</b:Guid>
    <b:Title>Chapter 9 - Fuel Cells</b:Title>
    <b:Year>2009</b:Year>
    <b:Pages>287-416</b:Pages>
    <b:LCID>en-US</b:LCID>
    <b:Author>
      <b:Author>
        <b:NameList>
          <b:Person>
            <b:Last>Rosa</b:Last>
            <b:First>Aldo</b:First>
            <b:Middle>Vieira da</b:Middle>
          </b:Person>
        </b:NameList>
      </b:Author>
      <b:BookAuthor>
        <b:NameList>
          <b:Person>
            <b:Last>Rosa</b:Last>
            <b:First>Aldo</b:First>
            <b:Middle>Vieira da</b:Middle>
          </b:Person>
        </b:NameList>
      </b:BookAuthor>
    </b:Author>
    <b:City>Stanford</b:City>
    <b:Publisher>Academic Press</b:Publisher>
    <b:BookTitle>Fundamentals of Renewable Energy Processes (Second Edition)</b:BookTitle>
    <b:RefOrder>82</b:RefOrder>
  </b:Source>
  <b:Source>
    <b:Tag>Ebr17</b:Tag>
    <b:SourceType>JournalArticle</b:SourceType>
    <b:Guid>{3776C2C2-51CF-40F0-A09A-32A12DE2F01B}</b:Guid>
    <b:Title>Performance of polydimethylsiloxane membrane contactor process for selective hydrogen sulfide removal from biogas</b:Title>
    <b:Year>2017</b:Year>
    <b:Pages>250-257</b:Pages>
    <b:LCID>en-US</b:LCID>
    <b:Author>
      <b:Author>
        <b:NameList>
          <b:Person>
            <b:Last>Tilahun</b:Last>
            <b:First>Ebrahim</b:First>
          </b:Person>
          <b:Person>
            <b:Last>Bayrakdar</b:Last>
            <b:First>Alper</b:First>
          </b:Person>
          <b:Person>
            <b:Last>Sahinkaya</b:Last>
            <b:First>Erkan</b:First>
          </b:Person>
          <b:Person>
            <b:Last>Çalli</b:Last>
            <b:First>Bariş</b:First>
          </b:Person>
        </b:NameList>
      </b:Author>
    </b:Author>
    <b:JournalName>Waste Management. Vol. 61.</b:JournalName>
    <b:RefOrder>83</b:RefOrder>
  </b:Source>
  <b:Source>
    <b:Tag>SRa11</b:Tag>
    <b:SourceType>JournalArticle</b:SourceType>
    <b:Guid>{604C5496-2930-4B35-9D1E-17596B921E6B}</b:Guid>
    <b:Title>Trace compounds affecting biogas energy utilisation – A review</b:Title>
    <b:Year>2011</b:Year>
    <b:LCID>en-US</b:LCID>
    <b:Author>
      <b:Author>
        <b:NameList>
          <b:Person>
            <b:Last>Rasi</b:Last>
            <b:First>J</b:First>
          </b:Person>
          <b:Person>
            <b:Last>Läntelä</b:Last>
            <b:First>J</b:First>
          </b:Person>
          <b:Person>
            <b:Last>Rintala</b:Last>
            <b:First>J</b:First>
          </b:Person>
        </b:NameList>
      </b:Author>
    </b:Author>
    <b:JournalName>Energy Conversion and Management. Vol. 52</b:JournalName>
    <b:Pages>3369-3375</b:Pages>
    <b:RefOrder>84</b:RefOrder>
  </b:Source>
  <b:Source>
    <b:Tag>Fer</b:Tag>
    <b:SourceType>JournalArticle</b:SourceType>
    <b:Guid>{808D66E3-06C4-430A-9316-587D23C5714C}</b:Guid>
    <b:Author>
      <b:Author>
        <b:NameList>
          <b:Person>
            <b:Last>Ferreira</b:Last>
            <b:First>Miguel</b:First>
          </b:Person>
        </b:NameList>
      </b:Author>
    </b:Author>
    <b:RefOrder>1</b:RefOrder>
  </b:Source>
</b:Sources>
</file>

<file path=customXml/itemProps1.xml><?xml version="1.0" encoding="utf-8"?>
<ds:datastoreItem xmlns:ds="http://schemas.openxmlformats.org/officeDocument/2006/customXml" ds:itemID="{A86768B8-88E1-4B65-9182-0CCD5CA35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31</Pages>
  <Words>31915</Words>
  <Characters>169151</Characters>
  <Application>Microsoft Office Word</Application>
  <DocSecurity>0</DocSecurity>
  <Lines>1409</Lines>
  <Paragraphs>401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dc:creator>
  <cp:lastModifiedBy>Francisco Baena-Moreno</cp:lastModifiedBy>
  <cp:revision>26</cp:revision>
  <cp:lastPrinted>2019-02-14T08:51:00Z</cp:lastPrinted>
  <dcterms:created xsi:type="dcterms:W3CDTF">2021-09-05T19:41:00Z</dcterms:created>
  <dcterms:modified xsi:type="dcterms:W3CDTF">2021-10-12T07:56:00Z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http://www.zotero.org/styles/applied-energy</vt:lpwstr>
  </property>
  <property fmtid="{D5CDD505-2E9C-101B-9397-08002B2CF9AE}" pid="11" name="Mendeley Recent Style Name 4_1">
    <vt:lpwstr>Applied Energy</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http://www.zotero.org/styles/energy</vt:lpwstr>
  </property>
  <property fmtid="{D5CDD505-2E9C-101B-9397-08002B2CF9AE}" pid="15" name="Mendeley Recent Style Name 6_1">
    <vt:lpwstr>Energy</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http://www.zotero.org/styles/sustainability</vt:lpwstr>
  </property>
  <property fmtid="{D5CDD505-2E9C-101B-9397-08002B2CF9AE}" pid="19" name="Mendeley Recent Style Name 8_1">
    <vt:lpwstr>Sustainability</vt:lpwstr>
  </property>
  <property fmtid="{D5CDD505-2E9C-101B-9397-08002B2CF9AE}" pid="20" name="Mendeley Recent Style Id 9_1">
    <vt:lpwstr>http://www.zotero.org/styles/waste-management</vt:lpwstr>
  </property>
  <property fmtid="{D5CDD505-2E9C-101B-9397-08002B2CF9AE}" pid="21" name="Mendeley Recent Style Name 9_1">
    <vt:lpwstr>Waste Management</vt:lpwstr>
  </property>
  <property fmtid="{D5CDD505-2E9C-101B-9397-08002B2CF9AE}" pid="22" name="Mendeley Document_1">
    <vt:lpwstr>True</vt:lpwstr>
  </property>
  <property fmtid="{D5CDD505-2E9C-101B-9397-08002B2CF9AE}" pid="23" name="Mendeley Unique User Id_1">
    <vt:lpwstr>33c623fc-edc1-328b-9b48-feab89e6b576</vt:lpwstr>
  </property>
  <property fmtid="{D5CDD505-2E9C-101B-9397-08002B2CF9AE}" pid="24" name="Mendeley Citation Style_1">
    <vt:lpwstr>http://www.zotero.org/styles/waste-management</vt:lpwstr>
  </property>
</Properties>
</file>